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2" 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г. Хабаровск Хабаровский край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работы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Службы ранней помощи на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7000000">
      <w:pPr>
        <w:pStyle w:val="Style_1"/>
        <w:ind w:firstLine="708" w:left="0"/>
        <w:jc w:val="both"/>
        <w:rPr>
          <w:rFonts w:ascii="Georgia" w:hAnsi="Georgia"/>
          <w:color w:val="000000"/>
          <w:sz w:val="28"/>
        </w:rPr>
      </w:pPr>
      <w:r>
        <w:rPr>
          <w:b w:val="1"/>
          <w:color w:val="000000"/>
          <w:sz w:val="28"/>
        </w:rPr>
        <w:t xml:space="preserve">Цель: </w:t>
      </w:r>
      <w:r>
        <w:rPr>
          <w:color w:val="000000"/>
          <w:sz w:val="28"/>
        </w:rPr>
        <w:t>организация психолого-педагогического сопровождения детей раннего возраста с ОВЗ по зрению, в том числе особыми образовательными потребностями, для содействия их оптимальному развитию и адаптации в обществе, и</w:t>
      </w:r>
      <w:r>
        <w:rPr>
          <w:rFonts w:ascii="Georgia" w:hAnsi="Georgia"/>
          <w:color w:val="000000"/>
          <w:sz w:val="18"/>
        </w:rPr>
        <w:t xml:space="preserve"> </w:t>
      </w:r>
      <w:r>
        <w:rPr>
          <w:color w:val="000000"/>
          <w:sz w:val="28"/>
        </w:rPr>
        <w:t>оказание</w:t>
      </w:r>
      <w:r>
        <w:rPr>
          <w:sz w:val="28"/>
        </w:rPr>
        <w:t xml:space="preserve"> комплексной, системной помощи семье, имеющей ребенка с выявленными нарушениями развития (риском нарушения). </w:t>
      </w:r>
      <w:r>
        <w:rPr>
          <w:color w:val="000000"/>
          <w:sz w:val="28"/>
        </w:rPr>
        <w:t xml:space="preserve"> </w:t>
      </w:r>
    </w:p>
    <w:p w14:paraId="08000000">
      <w:pPr>
        <w:pStyle w:val="Style_1"/>
        <w:spacing w:after="0" w:before="0"/>
        <w:ind w:firstLine="708" w:lef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Задачи:</w:t>
      </w:r>
    </w:p>
    <w:p w14:paraId="09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 - выявление проблем детей на ранних этапах развития;</w:t>
      </w:r>
    </w:p>
    <w:p w14:paraId="0A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color w:val="000000"/>
          <w:sz w:val="28"/>
        </w:rPr>
        <w:t>- оказание комплексной, системной помощи семье и детям;</w:t>
      </w:r>
    </w:p>
    <w:p w14:paraId="0B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 комплексная оценка развития ребенка (познавательной, социально-эмоциональной, двигательной, речевой, области самообслуживания); определение состояния психического здоровья ребенка, качественных особенностей его отношений с родителями и другими членами семьи; выявление основных потребностей ребенка и семьи;</w:t>
      </w:r>
    </w:p>
    <w:p w14:paraId="0C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  определение специальных образовательных потребностей детей  и детей-инвалидов на ранних этапах развития ребенка;</w:t>
      </w:r>
    </w:p>
    <w:p w14:paraId="0D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 повышение родительской компетентности по вопросам развития, воспитания и обучения детей раннего возраста.</w:t>
      </w:r>
    </w:p>
    <w:p w14:paraId="0E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Направления деятельности Службы ранней помощи:</w:t>
      </w:r>
    </w:p>
    <w:p w14:paraId="0F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1. Организационное направление включает в себя: </w:t>
      </w:r>
    </w:p>
    <w:p w14:paraId="10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 организацию взаимодействия Службы с организациями здравоохранения, социальной защиты, образования по выявлению детей раннего возраста с ограниченными возможностями;</w:t>
      </w:r>
    </w:p>
    <w:p w14:paraId="11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 координацию деятельности специалистов разного профиля и родителей (законных представителей) по реализации индивидуальной программы психолого-педагогического сопровождения;</w:t>
      </w:r>
    </w:p>
    <w:p w14:paraId="12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- анализ и обобщение результатов сопровождения, разработка рекомендаций по его совершенствованию. </w:t>
      </w:r>
    </w:p>
    <w:p w14:paraId="13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2. В рамках диагностического направления организовано межведомственное взаимодействие с учреждениями здравоохранения, образования и социальной защиты с целью выявления приоритетных потребностей ребёнка и семьи, основных областей развития ребёнка, функций и структур его организма, социального окружения и физической среды, влияющей на развитие ребёнка раннего возраста с особыми образовательными потребностями. </w:t>
      </w:r>
    </w:p>
    <w:p w14:paraId="14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3. В рамках консультативной и информационной деятельности Служба ранней помощи оказывает комплексную психолого-педагогическую помощь через разнообразные формы сотрудничества с семьёй, производится просвещение и обучение родителей приёмам эффективного взаимодействия (развивающего, обучающего, поддерживающего), повышение родительских компетенций в вопросах обеспечения ухода за ребёнком и его оптимального развития, в том числе,  в вопросах использования специального оборудования необходимого  ребёнку с нарушением мобильности и/или коммуникации.</w:t>
      </w:r>
    </w:p>
    <w:p w14:paraId="15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Требования для успешной реализации комплексной индивидуальной программы психолого-педагогического сопровождения ребёнка раннего возраста:</w:t>
      </w:r>
    </w:p>
    <w:p w14:paraId="16000000">
      <w:pPr>
        <w:pStyle w:val="Style_1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 обеспечить дифференцированные условия развитию и восстановлению функций  (оптимальный режим нагрузок с учетом возрастных особенностей; специально организованное образовательное пространство; изменение содержания, методов, форм обучения, максимально учитывая индивидуальные особенности ребёнка);</w:t>
      </w:r>
    </w:p>
    <w:p w14:paraId="17000000">
      <w:pPr>
        <w:pStyle w:val="Style_1"/>
        <w:spacing w:after="0" w:before="0"/>
        <w:ind w:firstLine="708" w:left="0"/>
        <w:jc w:val="both"/>
        <w:rPr>
          <w:sz w:val="28"/>
        </w:rPr>
      </w:pPr>
    </w:p>
    <w:p w14:paraId="18000000">
      <w:pPr>
        <w:pStyle w:val="Style_1"/>
        <w:spacing w:after="0" w:before="0"/>
        <w:ind/>
        <w:jc w:val="both"/>
        <w:rPr>
          <w:sz w:val="28"/>
        </w:rPr>
      </w:pPr>
    </w:p>
    <w:tbl>
      <w:tblPr>
        <w:tblStyle w:val="Style_2"/>
        <w:tblW w:type="auto" w:w="0"/>
        <w:tblInd w:type="dxa" w:w="-10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10"/>
        <w:gridCol w:w="4820"/>
        <w:gridCol w:w="1417"/>
        <w:gridCol w:w="2261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Направление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Содержание работы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Сроки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Ответственные</w:t>
            </w:r>
          </w:p>
        </w:tc>
      </w:tr>
      <w:tr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Организационная деятельность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Организация взаимодействия Службы с органами здравоохранения, социальной защиты, образования по выявлению детей, нуждающихся в ранней помощи.</w:t>
            </w:r>
          </w:p>
          <w:p w14:paraId="1F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Службы ранней</w:t>
            </w:r>
          </w:p>
          <w:p w14:paraId="22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помощи (СРП)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Приведение локальных актов школы-интерната в соответствии с нормативными правовыми документами, регламентирующими деятельность Службы.</w:t>
            </w:r>
          </w:p>
          <w:p w14:paraId="24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z w:val="28"/>
              </w:rPr>
              <w:t xml:space="preserve"> 2025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</w:p>
          <w:p w14:paraId="27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мониторинга ресурсного обеспечения (кадровые, материально-технические условия) Службы.</w:t>
            </w:r>
          </w:p>
          <w:p w14:paraId="29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z w:val="28"/>
              </w:rPr>
              <w:t xml:space="preserve"> 2025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СРП</w:t>
            </w:r>
          </w:p>
          <w:p w14:paraId="2C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Утверждение документации, обеспечивающей функционирование Службы:</w:t>
            </w:r>
          </w:p>
          <w:p w14:paraId="2E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 форма договора с родителями (законными представителями);</w:t>
            </w:r>
          </w:p>
          <w:p w14:paraId="2F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 форма заявления родителей (законных представителей);</w:t>
            </w:r>
          </w:p>
          <w:p w14:paraId="30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-индивидуальной карты консультаций</w:t>
            </w:r>
          </w:p>
          <w:p w14:paraId="31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 диагностический инструментарий;</w:t>
            </w:r>
          </w:p>
          <w:p w14:paraId="32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 разработка и утверждение плана деятельности  СРП</w:t>
            </w:r>
          </w:p>
          <w:p w14:paraId="33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z w:val="28"/>
              </w:rPr>
              <w:t xml:space="preserve"> 2025</w:t>
            </w:r>
            <w:bookmarkStart w:id="1" w:name="_GoBack"/>
            <w:bookmarkEnd w:id="1"/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СРП 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 информации о Службе ранней помощи. Разработка и выпуск рекламных буклетов.</w:t>
            </w:r>
          </w:p>
          <w:p w14:paraId="37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Диагностическая, развивающая деятельность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Проведение анализа анамнестических данных и психолого-педагогического обследования детей, поступающих в Службу ранней помощи (наблюдение за ребёнком, опрос родителей, проведение диагностических методик)</w:t>
            </w:r>
          </w:p>
          <w:p w14:paraId="3C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Разработка комплексного индивидуального маршрута сопровождения для каждого ребёнка</w:t>
            </w:r>
          </w:p>
          <w:p w14:paraId="40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Реализация индивидуального маршрута сопровождения ребёнка</w:t>
            </w:r>
          </w:p>
          <w:p w14:paraId="44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Выход из комплексного индивидуального маршрута сопровождения ребёнка и переход в детское учреждение. (Обследование по выпуску из Службы ранней помощи. Рекомендации по дальнейшему определению образовательного маршрута.)</w:t>
            </w:r>
          </w:p>
          <w:p w14:paraId="48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Диагностическое обследование детей по запросу и с согласия родителей.</w:t>
            </w:r>
          </w:p>
          <w:p w14:paraId="4C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Диагностика детско-родительских отношений по запросу родителей.</w:t>
            </w:r>
          </w:p>
          <w:p w14:paraId="50000000">
            <w:pPr>
              <w:pStyle w:val="Style_1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Консультативная и информационная деятельность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Индивидуальная работа с родителями (лицами их заменяющими) в вопросах развития, воспитания и обучения их детей. Обучение родителей методам и приёмам, направленным на восстановление и развитие функций социальной познавательной, речевой и двигательной сфер ребёнка. Повышение тифлопедагогических компетенций.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Целенаправленная индивидуальная работа с родителями (лицами их заменяющими), по вопросам  обучения и развития детей.</w:t>
            </w:r>
          </w:p>
          <w:p w14:paraId="58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с семьёй необходимой психопрофилактической  работы</w:t>
            </w:r>
          </w:p>
          <w:p w14:paraId="5C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родителей об услугах, предоставляемых службой ранней психолого-педагогической помощи с помощью буклетов, средств массовой информации.</w:t>
            </w:r>
          </w:p>
          <w:p w14:paraId="60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Просветительская</w:t>
            </w:r>
            <w:r>
              <w:rPr>
                <w:sz w:val="28"/>
              </w:rPr>
              <w:t xml:space="preserve"> </w:t>
            </w:r>
            <w:r>
              <w:rPr>
                <w:i w:val="1"/>
                <w:sz w:val="28"/>
              </w:rPr>
              <w:t>деятельность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Сетевое взаимодействие с учреждениями и организациями. Заключение договоров.</w:t>
            </w:r>
          </w:p>
          <w:p w14:paraId="65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открытых дверей с использованием интерактивного стола и песочницы </w:t>
            </w:r>
            <w:r>
              <w:rPr>
                <w:i w:val="1"/>
                <w:sz w:val="28"/>
              </w:rPr>
              <w:t>«Добро пожаловать в нашу школу!»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Тематические лекции:</w:t>
            </w:r>
          </w:p>
          <w:p w14:paraId="6C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sz w:val="28"/>
              </w:rPr>
              <w:t>- «</w:t>
            </w:r>
            <w:r>
              <w:rPr>
                <w:i w:val="1"/>
                <w:sz w:val="28"/>
              </w:rPr>
              <w:t>Коррекция устной речи у детей раннего возраста» (с использованием комплексной программы «Логопедический тренажёр речевой патологии»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Тренинг по гармонизации детско-родительских отношений «</w:t>
            </w:r>
            <w:r>
              <w:rPr>
                <w:i w:val="1"/>
                <w:sz w:val="28"/>
              </w:rPr>
              <w:t>Только вместе»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Обучение родителей способам взаимодействия с детьми:</w:t>
            </w:r>
          </w:p>
          <w:p w14:paraId="73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sz w:val="28"/>
              </w:rPr>
              <w:t>- обучающее занятие «</w:t>
            </w:r>
            <w:r>
              <w:rPr>
                <w:i w:val="1"/>
                <w:sz w:val="28"/>
              </w:rPr>
              <w:t>Как помочь ребёнку говорить?»;</w:t>
            </w:r>
          </w:p>
          <w:p w14:paraId="74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-</w:t>
            </w:r>
            <w:r>
              <w:rPr>
                <w:sz w:val="28"/>
              </w:rPr>
              <w:t>мастер-класс «</w:t>
            </w:r>
            <w:r>
              <w:rPr>
                <w:i w:val="1"/>
                <w:sz w:val="28"/>
              </w:rPr>
              <w:t>Организация развивающей среды дома»;</w:t>
            </w:r>
          </w:p>
          <w:p w14:paraId="75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 xml:space="preserve">- </w:t>
            </w:r>
            <w:r>
              <w:rPr>
                <w:sz w:val="28"/>
              </w:rPr>
              <w:t xml:space="preserve">обучающее занятие </w:t>
            </w:r>
            <w:r>
              <w:rPr>
                <w:i w:val="1"/>
                <w:sz w:val="28"/>
              </w:rPr>
              <w:t>«Учимся играя»</w:t>
            </w:r>
          </w:p>
          <w:p w14:paraId="76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Организационно-методический блок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Анализ и планирование деятельности. Анализ научной и практической литературы для подбора инструментария.</w:t>
            </w:r>
          </w:p>
          <w:p w14:paraId="7B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Прохождение курсов повышения квалификации</w:t>
            </w:r>
          </w:p>
          <w:p w14:paraId="80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Участие в методических мероприятиях района, края</w:t>
            </w:r>
          </w:p>
          <w:p w14:paraId="85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Специалисты СРП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Анализ эффективности работы СРП, выявление проблем, поиск путей решения. Планирование деятельности СРП на новый учебный год.</w:t>
            </w:r>
          </w:p>
          <w:p w14:paraId="8A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май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СРП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spacing w:after="0" w:before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Мониторинг ведения документации по СРП</w:t>
            </w:r>
          </w:p>
          <w:p w14:paraId="8F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СРП</w:t>
            </w:r>
          </w:p>
        </w:tc>
      </w:tr>
    </w:tbl>
    <w:p w14:paraId="92000000">
      <w:pPr>
        <w:pStyle w:val="Style_1"/>
        <w:spacing w:after="0" w:before="0"/>
        <w:ind w:firstLine="708" w:left="0"/>
        <w:jc w:val="both"/>
        <w:rPr>
          <w:b w:val="1"/>
          <w:color w:val="000000"/>
          <w:sz w:val="28"/>
        </w:rPr>
      </w:pPr>
    </w:p>
    <w:p w14:paraId="93000000">
      <w:pPr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3"/>
    <w:link w:val="Style_6_ch"/>
    <w:uiPriority w:val="39"/>
    <w:pPr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3"/>
    <w:link w:val="Style_7_ch"/>
    <w:uiPriority w:val="39"/>
    <w:pPr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9_ch" w:type="character">
    <w:name w:val="heading 3"/>
    <w:link w:val="Style_9"/>
    <w:rPr>
      <w:rFonts w:ascii="XO Thames" w:hAnsi="XO Thames"/>
      <w:b w:val="1"/>
      <w:color w:val="000000"/>
      <w:spacing w:val="0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3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pacing w:val="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3_ch" w:type="character">
    <w:name w:val="heading 1"/>
    <w:link w:val="Style_13"/>
    <w:rPr>
      <w:rFonts w:ascii="XO Thames" w:hAnsi="XO Thames"/>
      <w:b w:val="1"/>
      <w:color w:val="000000"/>
      <w:spacing w:val="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_ch" w:type="character">
    <w:name w:val="Footnote"/>
    <w:link w:val="Style_15"/>
    <w:rPr>
      <w:rFonts w:ascii="XO Thames" w:hAnsi="XO Thames"/>
      <w:color w:val="000000"/>
      <w:spacing w:val="0"/>
      <w:sz w:val="22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6" w:type="paragraph">
    <w:name w:val="toc 1"/>
    <w:next w:val="Style_3"/>
    <w:link w:val="Style_16_ch"/>
    <w:uiPriority w:val="39"/>
    <w:pPr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6_ch" w:type="character">
    <w:name w:val="toc 1"/>
    <w:link w:val="Style_16"/>
    <w:rPr>
      <w:rFonts w:ascii="XO Thames" w:hAnsi="XO Thames"/>
      <w:b w:val="1"/>
      <w:color w:val="000000"/>
      <w:spacing w:val="0"/>
      <w:sz w:val="28"/>
    </w:rPr>
  </w:style>
  <w:style w:styleId="Style_17" w:type="paragraph">
    <w:name w:val="Header and Footer"/>
    <w:link w:val="Style_17_ch"/>
    <w:pPr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7_ch" w:type="character">
    <w:name w:val="Header and Footer"/>
    <w:link w:val="Style_17"/>
    <w:rPr>
      <w:rFonts w:ascii="XO Thames" w:hAnsi="XO Thames"/>
      <w:color w:val="000000"/>
      <w:spacing w:val="0"/>
      <w:sz w:val="20"/>
    </w:rPr>
  </w:style>
  <w:style w:styleId="Style_18" w:type="paragraph">
    <w:name w:val="toc 9"/>
    <w:next w:val="Style_3"/>
    <w:link w:val="Style_18_ch"/>
    <w:uiPriority w:val="39"/>
    <w:pPr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9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8"/>
    <w:next w:val="Style_3"/>
    <w:link w:val="Style_19_ch"/>
    <w:uiPriority w:val="39"/>
    <w:pPr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8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toc 5"/>
    <w:next w:val="Style_3"/>
    <w:link w:val="Style_20_ch"/>
    <w:uiPriority w:val="39"/>
    <w:pPr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5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Subtitle"/>
    <w:next w:val="Style_3"/>
    <w:link w:val="Style_21_ch"/>
    <w:uiPriority w:val="11"/>
    <w:qFormat/>
    <w:pPr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000000"/>
      <w:spacing w:val="0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color w:val="000000"/>
      <w:spacing w:val="0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3_ch" w:type="character">
    <w:name w:val="heading 4"/>
    <w:link w:val="Style_23"/>
    <w:rPr>
      <w:rFonts w:ascii="XO Thames" w:hAnsi="XO Thames"/>
      <w:b w:val="1"/>
      <w:color w:val="000000"/>
      <w:spacing w:val="0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heading 2"/>
    <w:link w:val="Style_24"/>
    <w:rPr>
      <w:rFonts w:ascii="XO Thames" w:hAnsi="XO Thames"/>
      <w:b w:val="1"/>
      <w:color w:val="000000"/>
      <w:spacing w:val="0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2025-09-18T03:08:04Z</dcterms:modified>
</cp:coreProperties>
</file>