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282" w:line="240" w:lineRule="auto"/>
        <w:ind/>
        <w:jc w:val="center"/>
        <w:rPr>
          <w:rFonts w:ascii="Times New Roman" w:hAnsi="Times New Roman"/>
          <w:b w:val="1"/>
          <w:color w:val="7030A0"/>
          <w:sz w:val="28"/>
          <w:shd w:fill="F8F9FA" w:val="clear"/>
        </w:rPr>
      </w:pPr>
      <w:r>
        <w:rPr>
          <w:rFonts w:ascii="Times New Roman" w:hAnsi="Times New Roman"/>
          <w:b w:val="1"/>
          <w:color w:val="00B050"/>
          <w:sz w:val="26"/>
          <w:highlight w:val="white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4222802</wp:posOffset>
            </wp:positionH>
            <wp:positionV relativeFrom="page">
              <wp:posOffset>457200</wp:posOffset>
            </wp:positionV>
            <wp:extent cx="1080000" cy="936000"/>
            <wp:effectExtent b="0" l="0" r="0" t="0"/>
            <wp:wrapTopAndBottom distB="0" dist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080000" cy="9360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widowControl w:val="0"/>
        <w:tabs>
          <w:tab w:leader="none" w:pos="2184" w:val="left"/>
        </w:tabs>
        <w:spacing w:after="0" w:line="240" w:lineRule="auto"/>
        <w:ind w:right="13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B050"/>
          <w:sz w:val="28"/>
          <w:highlight w:val="white"/>
        </w:rPr>
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«Школа-интернат № 2» </w:t>
      </w:r>
      <w:r>
        <w:rPr>
          <w:rFonts w:ascii="Times New Roman" w:hAnsi="Times New Roman"/>
          <w:b w:val="1"/>
          <w:color w:val="00B050"/>
          <w:sz w:val="28"/>
          <w:highlight w:val="white"/>
        </w:rPr>
        <w:t>(КГБОУ ШИ 2)</w:t>
      </w:r>
    </w:p>
    <w:p w14:paraId="03000000">
      <w:pPr>
        <w:widowControl w:val="0"/>
        <w:tabs>
          <w:tab w:leader="none" w:pos="2184" w:val="left"/>
        </w:tabs>
        <w:spacing w:after="0" w:line="240" w:lineRule="auto"/>
        <w:ind w:right="138"/>
        <w:jc w:val="center"/>
        <w:rPr>
          <w:rFonts w:ascii="Times New Roman" w:hAnsi="Times New Roman"/>
          <w:b w:val="1"/>
          <w:color w:val="00B050"/>
          <w:sz w:val="28"/>
          <w:highlight w:val="white"/>
        </w:rPr>
      </w:pPr>
    </w:p>
    <w:p w14:paraId="04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color w:val="00B050"/>
          <w:sz w:val="26"/>
          <w:highlight w:val="white"/>
        </w:rPr>
      </w:pPr>
      <w:r>
        <w:rPr>
          <w:rFonts w:ascii="Times New Roman" w:hAnsi="Times New Roman"/>
          <w:b w:val="1"/>
          <w:color w:val="353535"/>
          <w:sz w:val="32"/>
          <w:shd w:fill="F8F9FA" w:val="clear"/>
        </w:rPr>
        <w:t xml:space="preserve">Особенности </w:t>
      </w:r>
      <w:r>
        <w:rPr>
          <w:rFonts w:ascii="Times New Roman" w:hAnsi="Times New Roman"/>
          <w:b w:val="1"/>
          <w:color w:val="353535"/>
          <w:sz w:val="32"/>
          <w:shd w:fill="F8F9FA" w:val="clear"/>
        </w:rPr>
        <w:t>об</w:t>
      </w:r>
      <w:r>
        <w:rPr>
          <w:rFonts w:ascii="Times New Roman" w:hAnsi="Times New Roman"/>
          <w:b w:val="1"/>
          <w:color w:val="353535"/>
          <w:sz w:val="32"/>
          <w:shd w:fill="F8F9FA" w:val="clear"/>
        </w:rPr>
        <w:t>учения детей с нарушением зрения игре</w:t>
      </w:r>
    </w:p>
    <w:p w14:paraId="05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color w:val="00B050"/>
          <w:sz w:val="28"/>
        </w:rPr>
      </w:pPr>
      <w:r>
        <w:rPr>
          <w:rFonts w:ascii="Times New Roman" w:hAnsi="Times New Roman"/>
          <w:b w:val="1"/>
          <w:color w:val="00B050"/>
          <w:sz w:val="28"/>
        </w:rPr>
        <w:t>Служба сопровождения</w:t>
      </w:r>
    </w:p>
    <w:p w14:paraId="06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</w:rPr>
      </w:pPr>
      <w:r>
        <w:rPr>
          <w:rFonts w:ascii="Times New Roman" w:hAnsi="Times New Roman"/>
          <w:b w:val="1"/>
          <w:color w:val="00B050"/>
          <w:sz w:val="26"/>
        </w:rPr>
        <w:t xml:space="preserve">Хабаровск, </w:t>
      </w:r>
      <w:r>
        <w:rPr>
          <w:rFonts w:ascii="Times New Roman" w:hAnsi="Times New Roman"/>
          <w:b w:val="1"/>
          <w:color w:val="00B050"/>
          <w:sz w:val="26"/>
        </w:rPr>
        <w:t>пер. Благодатный, 6</w:t>
      </w:r>
    </w:p>
    <w:p w14:paraId="07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  <w:highlight w:val="white"/>
        </w:rPr>
      </w:pPr>
      <w:r>
        <w:rPr>
          <w:rFonts w:ascii="Times New Roman" w:hAnsi="Times New Roman"/>
          <w:b w:val="1"/>
          <w:color w:val="00B050"/>
          <w:sz w:val="26"/>
        </w:rPr>
        <w:t>Телефон</w:t>
      </w:r>
      <w:r>
        <w:rPr>
          <w:rFonts w:ascii="Times New Roman" w:hAnsi="Times New Roman"/>
          <w:color w:val="00B050"/>
          <w:sz w:val="26"/>
        </w:rPr>
        <w:t xml:space="preserve">: </w:t>
      </w:r>
      <w:r>
        <w:rPr>
          <w:rFonts w:ascii="Times New Roman" w:hAnsi="Times New Roman"/>
          <w:b w:val="1"/>
          <w:color w:val="00B050"/>
          <w:sz w:val="26"/>
          <w:highlight w:val="white"/>
        </w:rPr>
        <w:t>+7 (4212) 37-39-46</w:t>
      </w:r>
      <w:r>
        <w:rPr>
          <w:rFonts w:ascii="Times New Roman" w:hAnsi="Times New Roman"/>
          <w:b w:val="1"/>
          <w:color w:val="00B050"/>
          <w:sz w:val="26"/>
          <w:highlight w:val="white"/>
        </w:rPr>
        <w:t>,</w:t>
      </w:r>
      <w:r>
        <w:rPr>
          <w:rFonts w:ascii="Times New Roman" w:hAnsi="Times New Roman"/>
          <w:b w:val="1"/>
          <w:color w:val="00B050"/>
          <w:sz w:val="26"/>
        </w:rPr>
        <w:t xml:space="preserve"> (4212)32-73-68</w:t>
      </w:r>
    </w:p>
    <w:p w14:paraId="08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  <w:highlight w:val="white"/>
        </w:rPr>
      </w:pPr>
    </w:p>
    <w:p w14:paraId="09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  <w:highlight w:val="white"/>
        </w:rPr>
      </w:pPr>
      <w:r>
        <w:rPr>
          <w:rFonts w:ascii="Times New Roman" w:hAnsi="Times New Roman"/>
          <w:b w:val="1"/>
          <w:color w:val="00B050"/>
          <w:sz w:val="26"/>
          <w:highlight w:val="white"/>
        </w:rPr>
        <w:t>Электронная почта:</w:t>
      </w:r>
    </w:p>
    <w:p w14:paraId="0A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  <w:highlight w:val="white"/>
        </w:rPr>
      </w:pPr>
      <w:r>
        <w:rPr>
          <w:rStyle w:val="Style_1_ch"/>
          <w:rFonts w:ascii="Times New Roman" w:hAnsi="Times New Roman"/>
          <w:b w:val="1"/>
          <w:color w:val="00B050"/>
          <w:sz w:val="26"/>
          <w:highlight w:val="white"/>
        </w:rPr>
        <w:fldChar w:fldCharType="begin"/>
      </w:r>
      <w:r>
        <w:rPr>
          <w:rStyle w:val="Style_1_ch"/>
          <w:rFonts w:ascii="Times New Roman" w:hAnsi="Times New Roman"/>
          <w:b w:val="1"/>
          <w:color w:val="00B050"/>
          <w:sz w:val="26"/>
          <w:highlight w:val="white"/>
        </w:rPr>
        <w:instrText>HYPERLINK "mailto:shkola_3_4@edu.27.ru"</w:instrText>
      </w:r>
      <w:r>
        <w:rPr>
          <w:rStyle w:val="Style_1_ch"/>
          <w:rFonts w:ascii="Times New Roman" w:hAnsi="Times New Roman"/>
          <w:b w:val="1"/>
          <w:color w:val="00B050"/>
          <w:sz w:val="26"/>
          <w:highlight w:val="white"/>
        </w:rPr>
        <w:fldChar w:fldCharType="separate"/>
      </w:r>
      <w:r>
        <w:rPr>
          <w:rStyle w:val="Style_1_ch"/>
          <w:rFonts w:ascii="Times New Roman" w:hAnsi="Times New Roman"/>
          <w:b w:val="1"/>
          <w:color w:val="00B050"/>
          <w:sz w:val="26"/>
          <w:highlight w:val="white"/>
        </w:rPr>
        <w:t>shkola_3_4@edu.27.ru</w:t>
      </w:r>
      <w:r>
        <w:rPr>
          <w:rStyle w:val="Style_1_ch"/>
          <w:rFonts w:ascii="Times New Roman" w:hAnsi="Times New Roman"/>
          <w:b w:val="1"/>
          <w:color w:val="00B050"/>
          <w:sz w:val="26"/>
          <w:highlight w:val="white"/>
        </w:rPr>
        <w:fldChar w:fldCharType="end"/>
      </w:r>
    </w:p>
    <w:p w14:paraId="0B000000">
      <w:pPr>
        <w:spacing w:after="0" w:line="240" w:lineRule="exact"/>
        <w:ind/>
        <w:jc w:val="center"/>
        <w:rPr>
          <w:rFonts w:ascii="Times New Roman" w:hAnsi="Times New Roman"/>
          <w:b w:val="1"/>
          <w:i w:val="1"/>
          <w:color w:val="0070C0"/>
          <w:sz w:val="20"/>
        </w:rPr>
      </w:pPr>
    </w:p>
    <w:p w14:paraId="0C000000">
      <w:pPr>
        <w:spacing w:after="0" w:line="240" w:lineRule="exact"/>
        <w:ind/>
        <w:jc w:val="center"/>
        <w:rPr>
          <w:rFonts w:ascii="Times New Roman" w:hAnsi="Times New Roman"/>
          <w:b w:val="1"/>
          <w:i w:val="1"/>
          <w:color w:val="0070C0"/>
          <w:sz w:val="20"/>
        </w:rPr>
      </w:pPr>
      <w:r>
        <w:rPr>
          <w:rFonts w:ascii="Times New Roman" w:hAnsi="Times New Roman"/>
          <w:b w:val="1"/>
          <w:i w:val="1"/>
          <w:color w:val="0070C0"/>
          <w:sz w:val="20"/>
        </w:rPr>
        <w:t>Педагог-психолог Иванова А.М.</w:t>
      </w:r>
    </w:p>
    <w:p w14:paraId="0D000000">
      <w:pPr>
        <w:widowControl w:val="0"/>
        <w:spacing w:after="0" w:before="282" w:line="240" w:lineRule="auto"/>
        <w:ind/>
        <w:jc w:val="center"/>
        <w:rPr>
          <w:rFonts w:ascii="Times New Roman" w:hAnsi="Times New Roman"/>
          <w:b w:val="1"/>
          <w:color w:val="7030A0"/>
          <w:sz w:val="28"/>
          <w:shd w:fill="F8F9FA" w:val="clear"/>
        </w:rPr>
      </w:pPr>
      <w:r>
        <w:drawing>
          <wp:inline>
            <wp:extent cx="2673350" cy="1767837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673350" cy="176783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widowControl w:val="0"/>
        <w:spacing w:after="0" w:before="282" w:line="240" w:lineRule="auto"/>
        <w:ind/>
        <w:jc w:val="center"/>
        <w:rPr>
          <w:rFonts w:ascii="Times New Roman" w:hAnsi="Times New Roman"/>
          <w:b w:val="1"/>
          <w:color w:val="7030A0"/>
          <w:sz w:val="28"/>
          <w:shd w:fill="F8F9FA" w:val="clear"/>
        </w:rPr>
      </w:pPr>
    </w:p>
    <w:p w14:paraId="0F000000">
      <w:pPr>
        <w:widowControl w:val="0"/>
        <w:spacing w:after="0" w:before="282" w:line="240" w:lineRule="auto"/>
        <w:ind/>
        <w:jc w:val="center"/>
        <w:rPr>
          <w:rFonts w:ascii="Times New Roman" w:hAnsi="Times New Roman"/>
          <w:b w:val="1"/>
          <w:color w:val="7030A0"/>
          <w:sz w:val="28"/>
          <w:shd w:fill="F8F9FA" w:val="clear"/>
        </w:rPr>
      </w:pPr>
      <w:r>
        <w:drawing>
          <wp:inline>
            <wp:extent cx="2673350" cy="1783004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673350" cy="1783004"/>
                    </a:xfrm>
                    <a:prstGeom prst="rect"/>
                  </pic:spPr>
                </pic:pic>
              </a:graphicData>
            </a:graphic>
          </wp:inline>
        </w:drawing>
      </w:r>
      <w:r>
        <w:drawing>
          <wp:inline>
            <wp:extent cx="2704022" cy="180401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2704022" cy="180401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0000000">
      <w:pPr>
        <w:widowControl w:val="0"/>
        <w:spacing w:after="0" w:before="282" w:line="240" w:lineRule="auto"/>
        <w:ind/>
        <w:jc w:val="center"/>
        <w:rPr>
          <w:rFonts w:ascii="Times New Roman" w:hAnsi="Times New Roman"/>
          <w:b w:val="1"/>
          <w:color w:val="7030A0"/>
          <w:sz w:val="28"/>
          <w:shd w:fill="F8F9FA" w:val="clear"/>
        </w:rPr>
      </w:pPr>
      <w:r>
        <w:rPr>
          <w:rFonts w:ascii="Times New Roman" w:hAnsi="Times New Roman"/>
          <w:b w:val="1"/>
          <w:color w:val="7030A0"/>
          <w:sz w:val="28"/>
          <w:shd w:fill="F8F9FA" w:val="clear"/>
        </w:rPr>
        <w:t>Особенности обучения детей с нарушением зрения игре</w:t>
      </w:r>
    </w:p>
    <w:p w14:paraId="11000000">
      <w:pPr>
        <w:widowControl w:val="0"/>
        <w:spacing w:after="0" w:before="282" w:line="240" w:lineRule="auto"/>
        <w:ind/>
        <w:jc w:val="center"/>
        <w:rPr>
          <w:rFonts w:ascii="Times New Roman" w:hAnsi="Times New Roman"/>
          <w:b w:val="1"/>
          <w:color w:val="7030A0"/>
          <w:sz w:val="28"/>
          <w:shd w:fill="F8F9FA" w:val="clear"/>
        </w:rPr>
      </w:pPr>
    </w:p>
    <w:p w14:paraId="12000000">
      <w:pPr>
        <w:widowControl w:val="0"/>
        <w:spacing w:after="0" w:line="240" w:lineRule="auto"/>
        <w:ind w:firstLine="707" w:left="2" w:right="1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Игра является неотъемлемой частью жизни </w:t>
      </w:r>
      <w:r>
        <w:rPr>
          <w:rFonts w:ascii="Times New Roman" w:hAnsi="Times New Roman"/>
          <w:sz w:val="24"/>
        </w:rPr>
        <w:t>ребенка</w:t>
      </w:r>
      <w:r>
        <w:rPr>
          <w:rFonts w:ascii="Times New Roman" w:hAnsi="Times New Roman"/>
          <w:sz w:val="24"/>
        </w:rPr>
        <w:t xml:space="preserve"> как с нормальным, так и с нарушенным зрением. С ее помощью он познает окружающий мир, усваивает связи между людьми, предметами, осознает свою роль в семье и обществе. Через игру ребенок получает знания, накопленные предыдущими поколениями. Именно игра готовит ребенка к вступлению во взрослую самостоятельную </w:t>
      </w:r>
      <w:r>
        <w:rPr>
          <w:rFonts w:ascii="Times New Roman" w:hAnsi="Times New Roman"/>
          <w:spacing w:val="-2"/>
          <w:sz w:val="24"/>
        </w:rPr>
        <w:t>жизнь.</w:t>
      </w:r>
      <w:bookmarkStart w:id="1" w:name="_GoBack"/>
      <w:bookmarkEnd w:id="1"/>
    </w:p>
    <w:p w14:paraId="13000000">
      <w:pPr>
        <w:widowControl w:val="0"/>
        <w:spacing w:after="0" w:before="1" w:line="240" w:lineRule="auto"/>
        <w:ind w:firstLine="707" w:left="2" w:right="139"/>
        <w:jc w:val="both"/>
        <w:rPr>
          <w:rFonts w:ascii="Times New Roman" w:hAnsi="Times New Roman"/>
          <w:b w:val="1"/>
          <w:color w:val="7030A0"/>
          <w:sz w:val="24"/>
        </w:rPr>
      </w:pPr>
      <w:r>
        <w:rPr>
          <w:rFonts w:ascii="Times New Roman" w:hAnsi="Times New Roman"/>
          <w:b w:val="1"/>
          <w:color w:val="7030A0"/>
          <w:sz w:val="24"/>
        </w:rPr>
        <w:t xml:space="preserve">Традиционно все детские игры делятся на две большие группы: </w:t>
      </w:r>
    </w:p>
    <w:p w14:paraId="14000000">
      <w:pPr>
        <w:widowControl w:val="0"/>
        <w:spacing w:after="0" w:before="1" w:line="240" w:lineRule="auto"/>
        <w:ind w:firstLine="707" w:left="2" w:right="1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-игры с правилами (подвижные, дидактические, настольно-печатные и 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.п</w:t>
      </w:r>
      <w:r>
        <w:rPr>
          <w:rFonts w:ascii="Times New Roman" w:hAnsi="Times New Roman"/>
          <w:sz w:val="24"/>
        </w:rPr>
        <w:t xml:space="preserve"> );</w:t>
      </w:r>
    </w:p>
    <w:p w14:paraId="15000000">
      <w:pPr>
        <w:widowControl w:val="0"/>
        <w:spacing w:after="0" w:before="1" w:line="240" w:lineRule="auto"/>
        <w:ind w:firstLine="707" w:left="2" w:right="1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-игры без определенных правил (строительно-конструкторские игры, творческие, сюжетно-ролевые игры).</w:t>
      </w:r>
    </w:p>
    <w:p w14:paraId="16000000">
      <w:pPr>
        <w:widowControl w:val="0"/>
        <w:spacing w:after="0" w:before="68" w:line="240" w:lineRule="auto"/>
        <w:ind w:left="2" w:right="13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Наиболее распространенными являются игры на бытовые сюжеты,  в которых дети отражают впечатления, полученные из окружающей их </w:t>
      </w:r>
      <w:r>
        <w:rPr>
          <w:rFonts w:ascii="Times New Roman" w:hAnsi="Times New Roman"/>
          <w:spacing w:val="-2"/>
          <w:sz w:val="24"/>
        </w:rPr>
        <w:t>действительности.</w:t>
      </w:r>
      <w:r>
        <w:rPr>
          <w:rFonts w:ascii="Times New Roman" w:hAnsi="Times New Roman"/>
          <w:sz w:val="24"/>
        </w:rPr>
        <w:t xml:space="preserve"> Правила таких игр определяются самой жизнью. В них ребенок сможет наиболее полно выразить себя, не боясь ошибиться, познать свойства окружающих предметов, осуществить попытки в самостоятельном налаживании отношений с другими детьми и отработать тип поведения, свойственного определенному персонажу</w:t>
      </w:r>
      <w:r>
        <w:rPr>
          <w:rFonts w:ascii="Times New Roman" w:hAnsi="Times New Roman"/>
        </w:rPr>
        <w:t xml:space="preserve">. </w:t>
      </w:r>
    </w:p>
    <w:p w14:paraId="17000000">
      <w:pPr>
        <w:widowControl w:val="0"/>
        <w:spacing w:after="0" w:before="68" w:line="240" w:lineRule="auto"/>
        <w:ind w:left="2" w:right="1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Однако следует помнить  то, что игра сможет положительно повлиять на </w:t>
      </w:r>
      <w:r>
        <w:rPr>
          <w:rFonts w:ascii="Times New Roman" w:hAnsi="Times New Roman"/>
          <w:sz w:val="24"/>
        </w:rPr>
        <w:t>развитие ребенка только в том случае, если взрослый примет в ней активное участие и будет ненавязчиво направлять ребенка в соблюдении норм, правил игры, а также в  использовании слуховых, осязательных, обонятельных и вкусовых навыков  при восприятии окружающего мира и отражении своих впечатлений в игре.</w:t>
      </w:r>
    </w:p>
    <w:p w14:paraId="18000000">
      <w:pPr>
        <w:widowControl w:val="0"/>
        <w:spacing w:after="0" w:before="2" w:line="240" w:lineRule="auto"/>
        <w:ind w:firstLine="707" w:left="2" w:right="136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У слепых детей процесс игры протекает несколько своеобразно, игровые умения у них формируются длительное время, развитию игры </w:t>
      </w:r>
      <w:r>
        <w:rPr>
          <w:rFonts w:ascii="Times New Roman" w:hAnsi="Times New Roman"/>
          <w:b w:val="1"/>
          <w:sz w:val="24"/>
        </w:rPr>
        <w:t>свойственны некоторые особенности:</w:t>
      </w:r>
    </w:p>
    <w:p w14:paraId="19000000">
      <w:pPr>
        <w:widowControl w:val="0"/>
        <w:numPr>
          <w:ilvl w:val="0"/>
          <w:numId w:val="1"/>
        </w:numPr>
        <w:tabs>
          <w:tab w:leader="none" w:pos="2040" w:val="left"/>
        </w:tabs>
        <w:spacing w:after="0" w:before="2" w:line="240" w:lineRule="auto"/>
        <w:ind w:firstLine="707" w:right="1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замена практического действия его описанием. Часто за описанием стоит неумение ребенка совершать действия, требуемые сюжетом </w:t>
      </w:r>
      <w:r>
        <w:rPr>
          <w:rFonts w:ascii="Times New Roman" w:hAnsi="Times New Roman"/>
          <w:spacing w:val="-2"/>
          <w:sz w:val="24"/>
        </w:rPr>
        <w:t>игры. Необходимо каждое действие в игре проговаривать;</w:t>
      </w:r>
    </w:p>
    <w:p w14:paraId="1A000000">
      <w:pPr>
        <w:widowControl w:val="0"/>
        <w:numPr>
          <w:ilvl w:val="0"/>
          <w:numId w:val="1"/>
        </w:numPr>
        <w:tabs>
          <w:tab w:leader="none" w:pos="1702" w:val="left"/>
        </w:tabs>
        <w:spacing w:after="0" w:before="2" w:line="240" w:lineRule="auto"/>
        <w:ind w:firstLine="707" w:right="1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отсутствие или низкая степень интереса к игрушкам и игре с ними. Больший интерес у детей вызывают доступные предметы из домашнего обихода (шарф, коробочка, баночки и др.) Необходимо познакомить ребенка с максимальным количеством определений и назначений данных предметов;</w:t>
      </w:r>
    </w:p>
    <w:p w14:paraId="1B000000">
      <w:pPr>
        <w:widowControl w:val="0"/>
        <w:numPr>
          <w:ilvl w:val="0"/>
          <w:numId w:val="1"/>
        </w:numPr>
        <w:tabs>
          <w:tab w:leader="none" w:pos="1702" w:val="left"/>
        </w:tabs>
        <w:spacing w:after="0" w:before="2" w:line="240" w:lineRule="auto"/>
        <w:ind w:firstLine="707" w:right="1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схематичность сюжета игры. Как правило, это связано с ограниченным жизненным опытом, недостатком впечатлений и не возможностью непосредственного наблюдения за действиями взрослых и подражания им. Постоянно проговаривать  ребенку свои действия в быту;</w:t>
      </w:r>
    </w:p>
    <w:p w14:paraId="1C000000">
      <w:pPr>
        <w:widowControl w:val="0"/>
        <w:numPr>
          <w:ilvl w:val="0"/>
          <w:numId w:val="1"/>
        </w:numPr>
        <w:tabs>
          <w:tab w:leader="none" w:pos="2184" w:val="left"/>
        </w:tabs>
        <w:spacing w:after="0" w:line="240" w:lineRule="auto"/>
        <w:ind w:firstLine="707" w:right="1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неохотное включение ребенка в коллективную игру и неумение </w:t>
      </w:r>
      <w:r>
        <w:rPr>
          <w:rFonts w:ascii="Times New Roman" w:hAnsi="Times New Roman"/>
          <w:sz w:val="24"/>
        </w:rPr>
        <w:t>удерживать внимание сразу нескольких партнеров по игре. Дети в дошкольном возрасте еще не владеют в полной мере всем запасом неречевых и речевых способов общения, они редко улыбаются, не знают, как выразить сочувствие с помощью мимики. Развивать эмоциональный интеллект у детей;</w:t>
      </w:r>
    </w:p>
    <w:p w14:paraId="1D000000">
      <w:pPr>
        <w:widowControl w:val="0"/>
        <w:numPr>
          <w:ilvl w:val="0"/>
          <w:numId w:val="1"/>
        </w:numPr>
        <w:tabs>
          <w:tab w:leader="none" w:pos="2184" w:val="left"/>
        </w:tabs>
        <w:spacing w:after="0" w:line="240" w:lineRule="auto"/>
        <w:ind w:firstLine="707" w:right="1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необходимость постоянной помощи со стороны взрослого в процессе игры. Следует учитывать, что характер помощи меняется в зависимости от возр</w:t>
      </w:r>
      <w:r>
        <w:rPr>
          <w:rFonts w:ascii="Times New Roman" w:hAnsi="Times New Roman"/>
          <w:sz w:val="24"/>
        </w:rPr>
        <w:t>аста ребенка, степени нарушения;</w:t>
      </w:r>
    </w:p>
    <w:p w14:paraId="1E000000">
      <w:pPr>
        <w:widowControl w:val="0"/>
        <w:numPr>
          <w:ilvl w:val="0"/>
          <w:numId w:val="1"/>
        </w:numPr>
        <w:tabs>
          <w:tab w:leader="none" w:pos="2184" w:val="left"/>
        </w:tabs>
        <w:spacing w:after="0" w:line="240" w:lineRule="auto"/>
        <w:ind w:firstLine="707" w:right="1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процесс обучения игре следует начинать уже с первых месяцев жизни ребенка, развивая для начала хватательный рефлекс. Подробно описывая данный предмет. Далее учить ребенка манипулировать этими предметами, привлекая его к действиям и после организовывать сюжет с использование данного предмета, или игрушки, усложняя его с каждым годом.</w:t>
      </w:r>
    </w:p>
    <w:p w14:paraId="1F000000">
      <w:pPr>
        <w:widowControl w:val="0"/>
        <w:spacing w:after="0" w:before="68" w:line="240" w:lineRule="auto"/>
        <w:ind w:right="138"/>
        <w:jc w:val="both"/>
        <w:rPr>
          <w:rFonts w:ascii="Times New Roman" w:hAnsi="Times New Roman"/>
          <w:sz w:val="24"/>
        </w:rPr>
      </w:pPr>
    </w:p>
    <w:p w14:paraId="20000000">
      <w:pPr>
        <w:widowControl w:val="0"/>
        <w:spacing w:after="0" w:before="68" w:line="240" w:lineRule="auto"/>
        <w:ind w:right="138"/>
        <w:jc w:val="both"/>
        <w:rPr>
          <w:rFonts w:ascii="Times New Roman" w:hAnsi="Times New Roman"/>
          <w:sz w:val="24"/>
        </w:rPr>
      </w:pPr>
    </w:p>
    <w:p w14:paraId="21000000">
      <w:pPr>
        <w:widowControl w:val="0"/>
        <w:spacing w:after="0" w:before="68" w:line="240" w:lineRule="auto"/>
        <w:ind w:left="2" w:right="138"/>
        <w:jc w:val="both"/>
        <w:rPr>
          <w:rFonts w:ascii="Times New Roman" w:hAnsi="Times New Roman"/>
          <w:sz w:val="24"/>
        </w:rPr>
      </w:pPr>
    </w:p>
    <w:p w14:paraId="22000000">
      <w:pPr>
        <w:widowControl w:val="0"/>
        <w:spacing w:after="0" w:before="1" w:line="240" w:lineRule="auto"/>
        <w:ind w:firstLine="707" w:left="2" w:right="140"/>
        <w:jc w:val="both"/>
        <w:rPr>
          <w:rFonts w:ascii="Times New Roman" w:hAnsi="Times New Roman"/>
          <w:b w:val="1"/>
          <w:color w:val="7030A0"/>
          <w:sz w:val="24"/>
        </w:rPr>
      </w:pPr>
      <w:r>
        <w:rPr>
          <w:rFonts w:ascii="Times New Roman" w:hAnsi="Times New Roman"/>
          <w:b w:val="1"/>
          <w:color w:val="7030A0"/>
          <w:sz w:val="24"/>
        </w:rPr>
        <w:t>Необходимо соблюдать следующие правила:</w:t>
      </w:r>
    </w:p>
    <w:p w14:paraId="23000000">
      <w:pPr>
        <w:widowControl w:val="0"/>
        <w:numPr>
          <w:ilvl w:val="0"/>
          <w:numId w:val="2"/>
        </w:numPr>
        <w:tabs>
          <w:tab w:leader="none" w:pos="1611" w:val="left"/>
        </w:tabs>
        <w:spacing w:after="0" w:line="240" w:lineRule="auto"/>
        <w:ind w:firstLine="707" w:right="1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Постоянно расширять представления ребенка об окружающих его предметах (называть их, рассказывать об их внешнем виде, характерных признаках, свойствах и особенностях, указывать на их назначение и показывать по возможности способы </w:t>
      </w:r>
      <w:r>
        <w:rPr>
          <w:rFonts w:ascii="Times New Roman" w:hAnsi="Times New Roman"/>
          <w:spacing w:val="-2"/>
          <w:sz w:val="24"/>
        </w:rPr>
        <w:t>применения);</w:t>
      </w:r>
    </w:p>
    <w:p w14:paraId="24000000">
      <w:pPr>
        <w:widowControl w:val="0"/>
        <w:numPr>
          <w:ilvl w:val="0"/>
          <w:numId w:val="2"/>
        </w:numPr>
        <w:tabs>
          <w:tab w:leader="none" w:pos="1803" w:val="left"/>
        </w:tabs>
        <w:spacing w:after="0" w:before="1" w:line="240" w:lineRule="auto"/>
        <w:ind w:firstLine="707" w:right="1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предоставлять малышу возможность для обследования предметов, разных по форме, фактуре, </w:t>
      </w:r>
      <w:r>
        <w:rPr>
          <w:rFonts w:ascii="Times New Roman" w:hAnsi="Times New Roman"/>
          <w:spacing w:val="-2"/>
          <w:sz w:val="24"/>
        </w:rPr>
        <w:t>назначению;</w:t>
      </w:r>
    </w:p>
    <w:p w14:paraId="25000000">
      <w:pPr>
        <w:widowControl w:val="0"/>
        <w:numPr>
          <w:ilvl w:val="0"/>
          <w:numId w:val="2"/>
        </w:numPr>
        <w:tabs>
          <w:tab w:leader="none" w:pos="1803" w:val="left"/>
        </w:tabs>
        <w:spacing w:after="0" w:before="1" w:line="240" w:lineRule="auto"/>
        <w:ind w:firstLine="707" w:right="1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создавать ребенку условия для проявления самостоятельности при выполнении показанных ранее действий с предметами и игрушками, не </w:t>
      </w:r>
      <w:r>
        <w:rPr>
          <w:rFonts w:ascii="Times New Roman" w:hAnsi="Times New Roman"/>
          <w:spacing w:val="-2"/>
          <w:sz w:val="24"/>
        </w:rPr>
        <w:t>мешать</w:t>
      </w:r>
      <w:r>
        <w:rPr>
          <w:rFonts w:ascii="Times New Roman" w:hAnsi="Times New Roman"/>
          <w:sz w:val="24"/>
        </w:rPr>
        <w:t xml:space="preserve"> ему, если он сам захочет познакомиться с новыми </w:t>
      </w:r>
      <w:r>
        <w:rPr>
          <w:rFonts w:ascii="Times New Roman" w:hAnsi="Times New Roman"/>
          <w:spacing w:val="-2"/>
          <w:sz w:val="24"/>
        </w:rPr>
        <w:t>предметами;</w:t>
      </w:r>
    </w:p>
    <w:p w14:paraId="26000000">
      <w:pPr>
        <w:widowControl w:val="0"/>
        <w:numPr>
          <w:ilvl w:val="0"/>
          <w:numId w:val="2"/>
        </w:numPr>
        <w:tabs>
          <w:tab w:leader="none" w:pos="1803" w:val="left"/>
        </w:tabs>
        <w:spacing w:after="0" w:before="1" w:line="240" w:lineRule="auto"/>
        <w:ind w:firstLine="707" w:right="1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подборе игрушек руководствоваться не внешней привлекательностью, а возможностями и интересом ребенка. Игрушки подбирать из разных материалов, средние по размеру, с четко выделенными деталями, реалистично отражающие тот объект, который они изображают. Стилизованные игрушки лучше давать ребенку только тогда, когда он уже будет иметь некоторые представления о предметах;</w:t>
      </w:r>
    </w:p>
    <w:p w14:paraId="27000000">
      <w:pPr>
        <w:widowControl w:val="0"/>
        <w:numPr>
          <w:ilvl w:val="0"/>
          <w:numId w:val="2"/>
        </w:numPr>
        <w:tabs>
          <w:tab w:leader="none" w:pos="1803" w:val="left"/>
        </w:tabs>
        <w:spacing w:after="0" w:before="1" w:line="240" w:lineRule="auto"/>
        <w:ind w:firstLine="707" w:right="137"/>
        <w:jc w:val="both"/>
        <w:rPr>
          <w:rFonts w:ascii="Times New Roman" w:hAnsi="Times New Roman"/>
          <w:b w:val="1"/>
          <w:color w:val="00B050"/>
          <w:sz w:val="26"/>
          <w:highlight w:val="white"/>
        </w:rPr>
      </w:pPr>
      <w:r>
        <w:rPr>
          <w:rFonts w:ascii="Times New Roman" w:hAnsi="Times New Roman"/>
          <w:sz w:val="24"/>
        </w:rPr>
        <w:t xml:space="preserve">привлекать ребенка к выполнению некоторых простейших домашних дел (мытье посуды, подметание полов, поливка цветов, чистка овощей ит. д.). Это необходимо для расширения жизненного опыта ребенка и обогащения сюжета творческой </w:t>
      </w:r>
      <w:r>
        <w:rPr>
          <w:rFonts w:ascii="Times New Roman" w:hAnsi="Times New Roman"/>
          <w:spacing w:val="-2"/>
          <w:sz w:val="24"/>
        </w:rPr>
        <w:t>игры.</w:t>
      </w:r>
      <w:r>
        <w:rPr>
          <w:rFonts w:ascii="Times New Roman" w:hAnsi="Times New Roman"/>
          <w:sz w:val="24"/>
        </w:rPr>
        <w:t xml:space="preserve"> Важно поддерживать положительный настрой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8000000">
      <w:pPr>
        <w:spacing w:after="0" w:line="240" w:lineRule="exact"/>
        <w:ind/>
        <w:jc w:val="both"/>
        <w:rPr>
          <w:rFonts w:ascii="Times New Roman" w:hAnsi="Times New Roman"/>
          <w:color w:themeColor="text2" w:val="1F497D"/>
          <w:sz w:val="24"/>
        </w:rPr>
      </w:pPr>
    </w:p>
    <w:p w14:paraId="29000000">
      <w:pPr>
        <w:spacing w:after="0" w:line="240" w:lineRule="exact"/>
        <w:ind/>
        <w:jc w:val="both"/>
        <w:rPr>
          <w:rFonts w:ascii="Times New Roman" w:hAnsi="Times New Roman"/>
          <w:b w:val="1"/>
          <w:i w:val="1"/>
          <w:color w:val="0070C0"/>
          <w:sz w:val="20"/>
        </w:rPr>
      </w:pPr>
    </w:p>
    <w:p w14:paraId="2A000000">
      <w:pPr>
        <w:ind/>
        <w:jc w:val="center"/>
      </w:pPr>
    </w:p>
    <w:p w14:paraId="2B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Без игры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т и не </w:t>
      </w:r>
      <w:r>
        <w:rPr>
          <w:rFonts w:ascii="Times New Roman" w:hAnsi="Times New Roman"/>
          <w:sz w:val="24"/>
        </w:rPr>
        <w:t xml:space="preserve"> может</w:t>
      </w:r>
      <w:r>
        <w:rPr>
          <w:rFonts w:ascii="Times New Roman" w:hAnsi="Times New Roman"/>
          <w:sz w:val="24"/>
        </w:rPr>
        <w:t xml:space="preserve"> быть </w:t>
      </w:r>
      <w:r>
        <w:rPr>
          <w:rFonts w:ascii="Times New Roman" w:hAnsi="Times New Roman"/>
          <w:sz w:val="24"/>
        </w:rPr>
        <w:t xml:space="preserve">полноценного умственного развития. Игра </w:t>
      </w:r>
      <w:r>
        <w:rPr>
          <w:rFonts w:ascii="Times New Roman" w:hAnsi="Times New Roman"/>
          <w:sz w:val="24"/>
        </w:rPr>
        <w:t>–э</w:t>
      </w:r>
      <w:r>
        <w:rPr>
          <w:rFonts w:ascii="Times New Roman" w:hAnsi="Times New Roman"/>
          <w:sz w:val="24"/>
        </w:rPr>
        <w:t xml:space="preserve">то огромное окно, через которое в духовный мир ребенка вливается живительный поток представлений и понятий. Игра-это искра, зажигающая огонек пытливости и любознательности. </w:t>
      </w:r>
    </w:p>
    <w:p w14:paraId="2C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В.А. Сухомлинский</w:t>
      </w:r>
    </w:p>
    <w:p w14:paraId="2D000000">
      <w:pPr>
        <w:tabs>
          <w:tab w:leader="none" w:pos="10982" w:val="left"/>
        </w:tabs>
        <w:ind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sectPr>
      <w:type w:val="continuous"/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1333" w:left="2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hanging="1333" w:left="949"/>
      </w:pPr>
    </w:lvl>
    <w:lvl w:ilvl="2">
      <w:numFmt w:val="bullet"/>
      <w:lvlText w:val="•"/>
      <w:lvlJc w:val="left"/>
      <w:pPr>
        <w:ind w:hanging="1333" w:left="1899"/>
      </w:pPr>
    </w:lvl>
    <w:lvl w:ilvl="3">
      <w:numFmt w:val="bullet"/>
      <w:lvlText w:val="•"/>
      <w:lvlJc w:val="left"/>
      <w:pPr>
        <w:ind w:hanging="1333" w:left="2849"/>
      </w:pPr>
    </w:lvl>
    <w:lvl w:ilvl="4">
      <w:numFmt w:val="bullet"/>
      <w:lvlText w:val="•"/>
      <w:lvlJc w:val="left"/>
      <w:pPr>
        <w:ind w:hanging="1333" w:left="3799"/>
      </w:pPr>
    </w:lvl>
    <w:lvl w:ilvl="5">
      <w:numFmt w:val="bullet"/>
      <w:lvlText w:val="•"/>
      <w:lvlJc w:val="left"/>
      <w:pPr>
        <w:ind w:hanging="1333" w:left="4749"/>
      </w:pPr>
    </w:lvl>
    <w:lvl w:ilvl="6">
      <w:numFmt w:val="bullet"/>
      <w:lvlText w:val="•"/>
      <w:lvlJc w:val="left"/>
      <w:pPr>
        <w:ind w:hanging="1333" w:left="5699"/>
      </w:pPr>
    </w:lvl>
    <w:lvl w:ilvl="7">
      <w:numFmt w:val="bullet"/>
      <w:lvlText w:val="•"/>
      <w:lvlJc w:val="left"/>
      <w:pPr>
        <w:ind w:hanging="1333" w:left="6648"/>
      </w:pPr>
    </w:lvl>
    <w:lvl w:ilvl="8">
      <w:numFmt w:val="bullet"/>
      <w:lvlText w:val="•"/>
      <w:lvlJc w:val="left"/>
      <w:pPr>
        <w:ind w:hanging="1333" w:left="7598"/>
      </w:pPr>
    </w:lvl>
  </w:abstractNum>
  <w:abstractNum w:abstractNumId="1">
    <w:lvl w:ilvl="0">
      <w:start w:val="1"/>
      <w:numFmt w:val="decimal"/>
      <w:lvlText w:val="%1."/>
      <w:lvlJc w:val="left"/>
      <w:pPr>
        <w:ind w:hanging="903" w:left="2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hanging="903" w:left="949"/>
      </w:pPr>
    </w:lvl>
    <w:lvl w:ilvl="2">
      <w:numFmt w:val="bullet"/>
      <w:lvlText w:val="•"/>
      <w:lvlJc w:val="left"/>
      <w:pPr>
        <w:ind w:hanging="903" w:left="1899"/>
      </w:pPr>
    </w:lvl>
    <w:lvl w:ilvl="3">
      <w:numFmt w:val="bullet"/>
      <w:lvlText w:val="•"/>
      <w:lvlJc w:val="left"/>
      <w:pPr>
        <w:ind w:hanging="903" w:left="2849"/>
      </w:pPr>
    </w:lvl>
    <w:lvl w:ilvl="4">
      <w:numFmt w:val="bullet"/>
      <w:lvlText w:val="•"/>
      <w:lvlJc w:val="left"/>
      <w:pPr>
        <w:ind w:hanging="903" w:left="3799"/>
      </w:pPr>
    </w:lvl>
    <w:lvl w:ilvl="5">
      <w:numFmt w:val="bullet"/>
      <w:lvlText w:val="•"/>
      <w:lvlJc w:val="left"/>
      <w:pPr>
        <w:ind w:hanging="903" w:left="4749"/>
      </w:pPr>
    </w:lvl>
    <w:lvl w:ilvl="6">
      <w:numFmt w:val="bullet"/>
      <w:lvlText w:val="•"/>
      <w:lvlJc w:val="left"/>
      <w:pPr>
        <w:ind w:hanging="903" w:left="5699"/>
      </w:pPr>
    </w:lvl>
    <w:lvl w:ilvl="7">
      <w:numFmt w:val="bullet"/>
      <w:lvlText w:val="•"/>
      <w:lvlJc w:val="left"/>
      <w:pPr>
        <w:ind w:hanging="903" w:left="6648"/>
      </w:pPr>
    </w:lvl>
    <w:lvl w:ilvl="8">
      <w:numFmt w:val="bullet"/>
      <w:lvlText w:val="•"/>
      <w:lvlJc w:val="left"/>
      <w:pPr>
        <w:ind w:hanging="903" w:left="759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List Paragraph"/>
    <w:basedOn w:val="Style_2"/>
    <w:link w:val="Style_5_ch"/>
    <w:pPr>
      <w:ind w:left="720"/>
      <w:contextualSpacing w:val="1"/>
    </w:pPr>
  </w:style>
  <w:style w:styleId="Style_5_ch" w:type="character">
    <w:name w:val="List Paragraph"/>
    <w:basedOn w:val="Style_2_ch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Hyperlink"/>
    <w:basedOn w:val="Style_12"/>
    <w:link w:val="Style_1_ch"/>
    <w:rPr>
      <w:color w:val="0000FF"/>
      <w:u w:val="single"/>
    </w:rPr>
  </w:style>
  <w:style w:styleId="Style_1_ch" w:type="character">
    <w:name w:val="Hyperlink"/>
    <w:basedOn w:val="Style_12_ch"/>
    <w:link w:val="Style_1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footer"/>
    <w:basedOn w:val="Style_2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2_ch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er"/>
    <w:basedOn w:val="Style_2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header"/>
    <w:basedOn w:val="Style_2_ch"/>
    <w:link w:val="Style_25"/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media/1.png" Type="http://schemas.openxmlformats.org/officeDocument/2006/relationships/image"/>
  <Relationship Id="rId10" Target="theme/theme1.xml" Type="http://schemas.openxmlformats.org/officeDocument/2006/relationships/theme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stylesWithEffects.xml" Type="http://schemas.microsoft.com/office/2007/relationships/stylesWithEffects"/>
  <Relationship Id="rId4" Target="media/4.jpe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2025-10-20T04:52:50Z</dcterms:modified>
</cp:coreProperties>
</file>