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0"/>
        <w:ind w:firstLine="362" w:left="0" w:right="135"/>
        <w:rPr>
          <w:color w:val="121416"/>
          <w:sz w:val="28"/>
        </w:rPr>
      </w:pPr>
    </w:p>
    <w:p w14:paraId="02000000">
      <w:pPr>
        <w:pStyle w:val="Style_1"/>
        <w:spacing w:before="0"/>
        <w:ind w:firstLine="362" w:left="0" w:right="135"/>
        <w:rPr>
          <w:color w:val="121416"/>
          <w:sz w:val="28"/>
        </w:rPr>
      </w:pPr>
      <w:r>
        <w:rPr>
          <w:color w:val="231F20"/>
          <w:sz w:val="26"/>
        </w:rP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posOffset>4402802</wp:posOffset>
            </wp:positionH>
            <wp:positionV relativeFrom="page">
              <wp:posOffset>662400</wp:posOffset>
            </wp:positionV>
            <wp:extent cx="885600" cy="748800"/>
            <wp:effectExtent b="0" l="0" r="0" t="0"/>
            <wp:wrapTopAndBottom distB="0" dist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885600" cy="7488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B050"/>
          <w:sz w:val="28"/>
          <w:highlight w:val="white"/>
        </w:rPr>
      </w:pPr>
      <w:r>
        <w:rPr>
          <w:rFonts w:ascii="Times New Roman" w:hAnsi="Times New Roman"/>
          <w:b w:val="1"/>
          <w:color w:val="00B050"/>
          <w:sz w:val="28"/>
          <w:highlight w:val="white"/>
        </w:rPr>
        <w:t xml:space="preserve">Краевое государственное бюджетное общеобразовательное учреждение, реализующее адаптированные основные общеобразовательные программы 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B050"/>
          <w:sz w:val="28"/>
          <w:highlight w:val="white"/>
        </w:rPr>
      </w:pPr>
      <w:r>
        <w:rPr>
          <w:rFonts w:ascii="Times New Roman" w:hAnsi="Times New Roman"/>
          <w:b w:val="1"/>
          <w:color w:val="00B050"/>
          <w:sz w:val="28"/>
          <w:highlight w:val="white"/>
        </w:rPr>
        <w:t xml:space="preserve">«Школа-интернат № 2» </w:t>
      </w:r>
    </w:p>
    <w:p w14:paraId="05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6"/>
        </w:rPr>
      </w:pPr>
    </w:p>
    <w:p w14:paraId="06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6"/>
        </w:rPr>
      </w:pPr>
      <w:r>
        <w:rPr>
          <w:rFonts w:ascii="Times New Roman" w:hAnsi="Times New Roman"/>
          <w:b w:val="1"/>
          <w:color w:val="00B050"/>
          <w:sz w:val="26"/>
        </w:rPr>
        <w:t>Хабаровск, пер. Благодатный, 6</w:t>
      </w:r>
    </w:p>
    <w:p w14:paraId="07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6"/>
        </w:rPr>
      </w:pPr>
      <w:r>
        <w:rPr>
          <w:rFonts w:ascii="Times New Roman" w:hAnsi="Times New Roman"/>
          <w:b w:val="1"/>
          <w:color w:val="00B050"/>
          <w:sz w:val="26"/>
        </w:rPr>
        <w:t>Телефон</w:t>
      </w:r>
      <w:r>
        <w:rPr>
          <w:rFonts w:ascii="Times New Roman" w:hAnsi="Times New Roman"/>
          <w:color w:val="00B050"/>
          <w:sz w:val="26"/>
        </w:rPr>
        <w:t xml:space="preserve">: </w:t>
      </w:r>
      <w:r>
        <w:rPr>
          <w:rFonts w:ascii="Times New Roman" w:hAnsi="Times New Roman"/>
          <w:b w:val="1"/>
          <w:color w:val="00B050"/>
          <w:sz w:val="26"/>
          <w:highlight w:val="white"/>
        </w:rPr>
        <w:t>+7 (4212) 37-39-46,</w:t>
      </w:r>
      <w:r>
        <w:rPr>
          <w:rFonts w:ascii="Times New Roman" w:hAnsi="Times New Roman"/>
          <w:b w:val="1"/>
          <w:color w:val="00B050"/>
          <w:sz w:val="26"/>
        </w:rPr>
        <w:t xml:space="preserve"> </w:t>
      </w:r>
    </w:p>
    <w:p w14:paraId="08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6"/>
          <w:highlight w:val="white"/>
        </w:rPr>
      </w:pPr>
      <w:r>
        <w:rPr>
          <w:rFonts w:ascii="Times New Roman" w:hAnsi="Times New Roman"/>
          <w:b w:val="1"/>
          <w:color w:val="00B050"/>
          <w:sz w:val="26"/>
        </w:rPr>
        <w:t>(4212)32-73-68</w:t>
      </w:r>
    </w:p>
    <w:p w14:paraId="09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8"/>
          <w:highlight w:val="white"/>
        </w:rPr>
      </w:pPr>
    </w:p>
    <w:p w14:paraId="0A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6"/>
          <w:highlight w:val="white"/>
        </w:rPr>
      </w:pPr>
      <w:r>
        <w:rPr>
          <w:rFonts w:ascii="Times New Roman" w:hAnsi="Times New Roman"/>
          <w:b w:val="1"/>
          <w:color w:val="00B050"/>
          <w:sz w:val="26"/>
          <w:highlight w:val="white"/>
        </w:rPr>
        <w:t>Электронная почта:</w:t>
      </w:r>
    </w:p>
    <w:p w14:paraId="0B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6"/>
          <w:highlight w:val="white"/>
        </w:rPr>
      </w:pPr>
      <w:r>
        <w:rPr>
          <w:rStyle w:val="Style_2_ch"/>
          <w:rFonts w:ascii="Times New Roman" w:hAnsi="Times New Roman"/>
          <w:b w:val="1"/>
          <w:color w:val="00B050"/>
          <w:sz w:val="26"/>
          <w:highlight w:val="white"/>
        </w:rPr>
        <w:fldChar w:fldCharType="begin"/>
      </w:r>
      <w:r>
        <w:rPr>
          <w:rStyle w:val="Style_2_ch"/>
          <w:rFonts w:ascii="Times New Roman" w:hAnsi="Times New Roman"/>
          <w:b w:val="1"/>
          <w:color w:val="00B050"/>
          <w:sz w:val="26"/>
          <w:highlight w:val="white"/>
        </w:rPr>
        <w:instrText>HYPERLINK "mailto:shkola_3_4@edu.27.ru"</w:instrText>
      </w:r>
      <w:r>
        <w:rPr>
          <w:rStyle w:val="Style_2_ch"/>
          <w:rFonts w:ascii="Times New Roman" w:hAnsi="Times New Roman"/>
          <w:b w:val="1"/>
          <w:color w:val="00B050"/>
          <w:sz w:val="26"/>
          <w:highlight w:val="white"/>
        </w:rPr>
        <w:fldChar w:fldCharType="separate"/>
      </w:r>
      <w:r>
        <w:rPr>
          <w:rStyle w:val="Style_2_ch"/>
          <w:rFonts w:ascii="Times New Roman" w:hAnsi="Times New Roman"/>
          <w:b w:val="1"/>
          <w:color w:val="00B050"/>
          <w:sz w:val="26"/>
          <w:highlight w:val="white"/>
        </w:rPr>
        <w:t>sint2@edu.27.ru</w:t>
      </w:r>
      <w:r>
        <w:rPr>
          <w:rStyle w:val="Style_2_ch"/>
          <w:rFonts w:ascii="Times New Roman" w:hAnsi="Times New Roman"/>
          <w:b w:val="1"/>
          <w:color w:val="00B050"/>
          <w:sz w:val="26"/>
          <w:highlight w:val="white"/>
        </w:rPr>
        <w:fldChar w:fldCharType="end"/>
      </w:r>
    </w:p>
    <w:p w14:paraId="0C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6"/>
          <w:highlight w:val="white"/>
        </w:rPr>
      </w:pPr>
    </w:p>
    <w:p w14:paraId="0D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6"/>
          <w:highlight w:val="white"/>
        </w:rPr>
      </w:pPr>
      <w:r>
        <w:rPr>
          <w:rFonts w:ascii="Times New Roman" w:hAnsi="Times New Roman"/>
          <w:b w:val="1"/>
          <w:color w:val="00B050"/>
          <w:sz w:val="28"/>
        </w:rPr>
        <w:t xml:space="preserve">Служба сопровождения </w:t>
      </w:r>
    </w:p>
    <w:p w14:paraId="0E000000">
      <w:pPr>
        <w:spacing w:after="0" w:line="240" w:lineRule="exact"/>
        <w:ind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              </w:t>
      </w:r>
    </w:p>
    <w:p w14:paraId="0F000000">
      <w:pPr>
        <w:spacing w:after="0" w:line="240" w:lineRule="exact"/>
        <w:ind/>
        <w:jc w:val="center"/>
        <w:rPr>
          <w:rFonts w:ascii="Times New Roman" w:hAnsi="Times New Roman"/>
          <w:b w:val="1"/>
          <w:i w:val="1"/>
          <w:color w:val="0070C0"/>
          <w:sz w:val="20"/>
        </w:rPr>
      </w:pPr>
      <w:r>
        <w:rPr>
          <w:rFonts w:ascii="Times New Roman" w:hAnsi="Times New Roman"/>
          <w:b w:val="1"/>
          <w:i w:val="1"/>
          <w:color w:val="0070C0"/>
          <w:sz w:val="20"/>
        </w:rPr>
        <w:t>Педагог-психолог Иванова А.М.</w:t>
      </w:r>
    </w:p>
    <w:p w14:paraId="10000000">
      <w:pPr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color w:val="00B050"/>
          <w:highlight w:val="white"/>
        </w:rPr>
      </w:pPr>
      <w:r>
        <w:drawing>
          <wp:inline>
            <wp:extent cx="2508250" cy="187972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2508250" cy="187972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6146165</wp:posOffset>
            </wp:positionH>
            <wp:positionV relativeFrom="page">
              <wp:posOffset>4543424</wp:posOffset>
            </wp:positionV>
            <wp:extent cx="3142851" cy="1911350"/>
            <wp:effectExtent b="0" l="0" r="0" t="0"/>
            <wp:wrapTight distL="114300" distR="114300" wrapText="bothSides">
              <wp:wrapPolygon>
                <wp:start x="0" y="0"/>
                <wp:lineTo x="0" y="21207"/>
                <wp:lineTo x="21429" y="21207"/>
                <wp:lineTo x="21429" y="0"/>
                <wp:lineTo x="0" y="0"/>
              </wp:wrapPolygon>
            </wp:wrapTight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3142851" cy="191135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2060"/>
          <w:sz w:val="28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2060"/>
          <w:sz w:val="28"/>
        </w:rPr>
      </w:pP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2060"/>
          <w:sz w:val="28"/>
        </w:rPr>
      </w:pP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2060"/>
          <w:sz w:val="28"/>
        </w:rPr>
      </w:pP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2060"/>
          <w:sz w:val="28"/>
        </w:rPr>
      </w:pPr>
      <w:r>
        <w:rPr>
          <w:rFonts w:ascii="Times New Roman" w:hAnsi="Times New Roman"/>
          <w:b w:val="1"/>
          <w:color w:val="002060"/>
          <w:sz w:val="28"/>
        </w:rPr>
        <w:t>Рекомендации родителям по обучению пространственной ориентировке ребенка с нарушением зрения в домашних условиях</w:t>
      </w:r>
    </w:p>
    <w:p w14:paraId="16000000">
      <w:pPr>
        <w:pStyle w:val="Style_1"/>
        <w:spacing w:before="0"/>
        <w:ind w:firstLine="362" w:left="0" w:right="135"/>
        <w:rPr>
          <w:color w:val="121416"/>
          <w:sz w:val="28"/>
        </w:rPr>
      </w:pPr>
      <w:r>
        <w:rPr>
          <w:color w:val="121416"/>
          <w:sz w:val="28"/>
          <w:highlight w:val="white"/>
        </w:rPr>
        <w:t>Обучение незрячего ребенка самостоятельности включает в себя не только самообслуживание, но и умение безопасно и эстетично передвигаться в пространстве. Начинать прививать эти навыки лучше как можно раньше, однако это не означает, что есть возраст, в котором учить поздно. Обучение детей с нарушением зрения ориентированию и мобильности лучше вести не стихийно от случая к случаю, а целенаправленно. Важно заниматься с ребенком регулярно - учить пусть по чуть-чуть, но каждый день</w:t>
      </w:r>
      <w:r>
        <w:rPr>
          <w:color w:val="121416"/>
          <w:sz w:val="28"/>
        </w:rPr>
        <w:t>.</w:t>
      </w:r>
    </w:p>
    <w:p w14:paraId="17000000">
      <w:pPr>
        <w:pStyle w:val="Style_1"/>
        <w:spacing w:before="0"/>
        <w:ind w:firstLine="0" w:right="135"/>
        <w:rPr>
          <w:color w:val="121416"/>
          <w:sz w:val="28"/>
        </w:rPr>
      </w:pPr>
    </w:p>
    <w:p w14:paraId="18000000">
      <w:pPr>
        <w:pStyle w:val="Style_1"/>
        <w:numPr>
          <w:ilvl w:val="0"/>
          <w:numId w:val="1"/>
        </w:numPr>
        <w:spacing w:before="0"/>
        <w:ind w:right="135"/>
        <w:rPr>
          <w:sz w:val="28"/>
        </w:rPr>
      </w:pPr>
      <w:r>
        <w:rPr>
          <w:sz w:val="28"/>
        </w:rPr>
        <w:t xml:space="preserve">Начинать необходимо с первых дней </w:t>
      </w:r>
      <w:r>
        <w:rPr>
          <w:sz w:val="28"/>
        </w:rPr>
        <w:t xml:space="preserve">  </w:t>
      </w:r>
      <w:r>
        <w:rPr>
          <w:sz w:val="28"/>
        </w:rPr>
        <w:t xml:space="preserve">жизни ребенка. Далее с 3-4 лет начинать формирование навыков ориентирования с ознакомления со своим </w:t>
      </w:r>
      <w:r>
        <w:rPr>
          <w:sz w:val="28"/>
        </w:rPr>
        <w:t>телом,  названием</w:t>
      </w:r>
      <w:r>
        <w:rPr>
          <w:sz w:val="28"/>
        </w:rPr>
        <w:t xml:space="preserve"> частей тела и знания парных органов человека.</w:t>
      </w:r>
    </w:p>
    <w:p w14:paraId="19000000">
      <w:pPr>
        <w:pStyle w:val="Style_1"/>
        <w:numPr>
          <w:ilvl w:val="0"/>
          <w:numId w:val="1"/>
        </w:numPr>
        <w:spacing w:before="0"/>
        <w:ind w:right="141"/>
        <w:rPr>
          <w:sz w:val="28"/>
        </w:rPr>
      </w:pPr>
      <w:r>
        <w:rPr>
          <w:sz w:val="28"/>
        </w:rPr>
        <w:t>После переходить к ориентировке в пространстве относительно «себя» (слева, справа, сзади, спереди, около и т.д.)</w:t>
      </w:r>
    </w:p>
    <w:p w14:paraId="1A000000">
      <w:pPr>
        <w:pStyle w:val="Style_1"/>
        <w:numPr>
          <w:ilvl w:val="0"/>
          <w:numId w:val="1"/>
        </w:numPr>
        <w:spacing w:before="0"/>
        <w:ind w:right="141"/>
        <w:rPr>
          <w:sz w:val="28"/>
        </w:rPr>
      </w:pPr>
      <w:r>
        <w:rPr>
          <w:sz w:val="28"/>
        </w:rPr>
        <w:t xml:space="preserve">Знакомить с окружающими объектами, уделяя внимание существенным признакам  (материалу из чего сделан </w:t>
      </w:r>
      <w:r>
        <w:rPr>
          <w:sz w:val="28"/>
        </w:rPr>
        <w:t>предмет, месту нахождения, звукам и запахам предмета, временным ориентирам, изменениям в природе, форме, величине, окраске, счету, правилам поведения, причинно-следственным связям, назначению предмета, его действию, сходству и различию с другими предметами  и др.).</w:t>
      </w:r>
    </w:p>
    <w:p w14:paraId="1B000000">
      <w:pPr>
        <w:pStyle w:val="Style_1"/>
        <w:numPr>
          <w:ilvl w:val="0"/>
          <w:numId w:val="1"/>
        </w:numPr>
        <w:spacing w:before="0"/>
        <w:ind w:right="141"/>
        <w:rPr>
          <w:sz w:val="28"/>
        </w:rPr>
      </w:pPr>
      <w:r>
        <w:rPr>
          <w:sz w:val="28"/>
        </w:rPr>
        <w:t xml:space="preserve">Знакомить ребенка с признаками предметами постепенно и поочередно, убрав все лишнее с «поля зрения» (чтоб не произошло </w:t>
      </w:r>
      <w:r>
        <w:rPr>
          <w:sz w:val="28"/>
        </w:rPr>
        <w:t>переизбытка информации</w:t>
      </w:r>
      <w:r>
        <w:rPr>
          <w:sz w:val="28"/>
        </w:rPr>
        <w:t xml:space="preserve"> за раз </w:t>
      </w:r>
      <w:r>
        <w:rPr>
          <w:sz w:val="28"/>
        </w:rPr>
        <w:t>и  внимание</w:t>
      </w:r>
      <w:r>
        <w:rPr>
          <w:sz w:val="28"/>
        </w:rPr>
        <w:t xml:space="preserve"> ребенка не переключалось на другие предметы).</w:t>
      </w:r>
    </w:p>
    <w:p w14:paraId="1C000000">
      <w:pPr>
        <w:pStyle w:val="Style_1"/>
        <w:numPr>
          <w:ilvl w:val="0"/>
          <w:numId w:val="1"/>
        </w:numPr>
        <w:spacing w:before="68"/>
        <w:ind w:right="134"/>
        <w:rPr>
          <w:sz w:val="28"/>
        </w:rPr>
      </w:pPr>
      <w:r>
        <w:rPr>
          <w:sz w:val="28"/>
        </w:rPr>
        <w:t>Все обучение должно проходить в форме игры.</w:t>
      </w:r>
    </w:p>
    <w:p w14:paraId="1D000000">
      <w:pPr>
        <w:pStyle w:val="Style_1"/>
        <w:numPr>
          <w:ilvl w:val="0"/>
          <w:numId w:val="1"/>
        </w:numPr>
        <w:ind w:right="136"/>
        <w:rPr>
          <w:sz w:val="28"/>
        </w:rPr>
      </w:pPr>
      <w:r>
        <w:rPr>
          <w:sz w:val="28"/>
        </w:rPr>
        <w:t>Начинайте ориентировку сначала от двери, а далее усложняя задание от окна или других знакомых ребенку предметов, по отношению к нему.</w:t>
      </w:r>
    </w:p>
    <w:p w14:paraId="1E000000">
      <w:pPr>
        <w:pStyle w:val="Style_1"/>
        <w:numPr>
          <w:ilvl w:val="0"/>
          <w:numId w:val="1"/>
        </w:numPr>
        <w:spacing w:before="68"/>
        <w:ind w:right="134"/>
        <w:rPr>
          <w:sz w:val="28"/>
        </w:rPr>
      </w:pPr>
      <w:r>
        <w:rPr>
          <w:sz w:val="28"/>
        </w:rPr>
        <w:t>В начале обучения необходимо создавать специальные, естественные ориентиры (коврик на полу, полка с игрушками, настенные часы, картина и т.д.)</w:t>
      </w:r>
    </w:p>
    <w:p w14:paraId="1F000000">
      <w:pPr>
        <w:pStyle w:val="Style_1"/>
        <w:numPr>
          <w:ilvl w:val="0"/>
          <w:numId w:val="1"/>
        </w:numPr>
        <w:spacing w:before="68"/>
        <w:ind w:right="134"/>
        <w:rPr>
          <w:sz w:val="28"/>
        </w:rPr>
      </w:pPr>
      <w:r>
        <w:rPr>
          <w:sz w:val="28"/>
        </w:rPr>
        <w:t xml:space="preserve">Используйте специальные макеты жилых помещений, </w:t>
      </w:r>
      <w:r>
        <w:rPr>
          <w:sz w:val="28"/>
        </w:rPr>
        <w:t>например с</w:t>
      </w:r>
      <w:r>
        <w:rPr>
          <w:sz w:val="28"/>
        </w:rPr>
        <w:t xml:space="preserve"> кукольной мебелью (в таком порядке можно расставить мебель в квартире).</w:t>
      </w:r>
    </w:p>
    <w:p w14:paraId="20000000">
      <w:pPr>
        <w:pStyle w:val="Style_1"/>
        <w:numPr>
          <w:ilvl w:val="0"/>
          <w:numId w:val="1"/>
        </w:numPr>
        <w:spacing w:before="68"/>
        <w:ind w:right="134"/>
        <w:rPr>
          <w:sz w:val="28"/>
        </w:rPr>
      </w:pPr>
      <w:r>
        <w:rPr>
          <w:sz w:val="28"/>
        </w:rPr>
        <w:t>Проявляйте терпение и объясняйте ребенку подробное местонахождение предмета или ориентировки.</w:t>
      </w:r>
    </w:p>
    <w:p w14:paraId="21000000">
      <w:pPr>
        <w:pStyle w:val="Style_1"/>
        <w:numPr>
          <w:ilvl w:val="0"/>
          <w:numId w:val="1"/>
        </w:numPr>
        <w:spacing w:before="68"/>
        <w:ind w:right="134"/>
        <w:rPr>
          <w:sz w:val="28"/>
        </w:rPr>
      </w:pPr>
      <w:r>
        <w:rPr>
          <w:sz w:val="28"/>
        </w:rPr>
        <w:t xml:space="preserve">Сами соблюдайте семейную организованность (порядок в семейном хозяйстве). Все должно стоять и лежать на своих местах. </w:t>
      </w:r>
    </w:p>
    <w:p w14:paraId="22000000">
      <w:pPr>
        <w:pStyle w:val="Style_1"/>
        <w:numPr>
          <w:ilvl w:val="0"/>
          <w:numId w:val="1"/>
        </w:numPr>
        <w:spacing w:before="2"/>
        <w:ind w:right="136"/>
        <w:rPr>
          <w:sz w:val="28"/>
        </w:rPr>
      </w:pPr>
      <w:r>
        <w:rPr>
          <w:sz w:val="28"/>
        </w:rPr>
        <w:t>При покупке новой мебели или предмета в дом, определите место для него вместе с ребенком.</w:t>
      </w:r>
    </w:p>
    <w:p w14:paraId="23000000">
      <w:pPr>
        <w:pStyle w:val="Style_1"/>
        <w:numPr>
          <w:ilvl w:val="0"/>
          <w:numId w:val="1"/>
        </w:numPr>
        <w:spacing w:before="2"/>
        <w:ind w:right="136"/>
        <w:rPr>
          <w:sz w:val="28"/>
        </w:rPr>
      </w:pPr>
      <w:r>
        <w:rPr>
          <w:sz w:val="28"/>
        </w:rPr>
        <w:t>Развивайте у ребенка осязательную чувствительность.</w:t>
      </w:r>
    </w:p>
    <w:p w14:paraId="24000000">
      <w:pPr>
        <w:pStyle w:val="Style_1"/>
        <w:numPr>
          <w:ilvl w:val="0"/>
          <w:numId w:val="1"/>
        </w:numPr>
        <w:spacing w:before="2"/>
        <w:ind w:right="136"/>
        <w:rPr>
          <w:sz w:val="28"/>
        </w:rPr>
      </w:pPr>
      <w:r>
        <w:rPr>
          <w:sz w:val="28"/>
        </w:rPr>
        <w:t xml:space="preserve">Используйте в </w:t>
      </w:r>
      <w:r>
        <w:rPr>
          <w:sz w:val="28"/>
        </w:rPr>
        <w:t>обучении ориентировке</w:t>
      </w:r>
      <w:r>
        <w:rPr>
          <w:sz w:val="28"/>
        </w:rPr>
        <w:t xml:space="preserve"> ребенка остаточное зрение.</w:t>
      </w:r>
    </w:p>
    <w:p w14:paraId="25000000">
      <w:pPr>
        <w:pStyle w:val="Style_1"/>
        <w:numPr>
          <w:ilvl w:val="0"/>
          <w:numId w:val="1"/>
        </w:numPr>
        <w:spacing w:before="2"/>
        <w:ind w:right="136"/>
        <w:rPr>
          <w:sz w:val="28"/>
        </w:rPr>
      </w:pPr>
      <w:r>
        <w:rPr>
          <w:sz w:val="28"/>
        </w:rPr>
        <w:t xml:space="preserve">Для ориентировки на местности учите детей узнавать действие предмета и его отдаленность по звукам (лает собака, едет машина, журчит ручей, приближение и удаление шагов, голосов и </w:t>
      </w:r>
      <w:r>
        <w:rPr>
          <w:sz w:val="28"/>
        </w:rPr>
        <w:t>др</w:t>
      </w:r>
      <w:r>
        <w:rPr>
          <w:sz w:val="28"/>
        </w:rPr>
        <w:t xml:space="preserve">). </w:t>
      </w:r>
      <w:r>
        <w:rPr>
          <w:sz w:val="28"/>
        </w:rPr>
        <w:t xml:space="preserve"> </w:t>
      </w:r>
      <w:r>
        <w:rPr>
          <w:sz w:val="28"/>
        </w:rPr>
        <w:t>Не забывайте о</w:t>
      </w:r>
      <w:r>
        <w:rPr>
          <w:rFonts w:asciiTheme="minorAscii" w:hAnsiTheme="minorHAnsi"/>
          <w:color w:val="121416"/>
          <w:sz w:val="28"/>
          <w:highlight w:val="white"/>
        </w:rPr>
        <w:t xml:space="preserve"> </w:t>
      </w:r>
      <w:r>
        <w:rPr>
          <w:color w:val="121416"/>
          <w:sz w:val="28"/>
          <w:highlight w:val="white"/>
        </w:rPr>
        <w:t>безопасности</w:t>
      </w:r>
      <w:r>
        <w:rPr>
          <w:color w:val="121416"/>
          <w:sz w:val="28"/>
        </w:rPr>
        <w:t xml:space="preserve"> (звук приближающегося транспорта).</w:t>
      </w:r>
    </w:p>
    <w:p w14:paraId="26000000">
      <w:pPr>
        <w:pStyle w:val="Style_1"/>
        <w:numPr>
          <w:ilvl w:val="0"/>
          <w:numId w:val="1"/>
        </w:numPr>
        <w:spacing w:before="2"/>
        <w:ind w:right="136"/>
        <w:rPr>
          <w:sz w:val="28"/>
        </w:rPr>
      </w:pPr>
      <w:r>
        <w:rPr>
          <w:sz w:val="28"/>
        </w:rPr>
        <w:t>Уделяйте внимание</w:t>
      </w:r>
      <w:r>
        <w:rPr>
          <w:sz w:val="28"/>
        </w:rPr>
        <w:t xml:space="preserve"> и поощряйте физическую активность </w:t>
      </w:r>
      <w:r>
        <w:rPr>
          <w:sz w:val="28"/>
        </w:rPr>
        <w:t>ребенка</w:t>
      </w:r>
      <w:r>
        <w:rPr>
          <w:sz w:val="28"/>
        </w:rPr>
        <w:t xml:space="preserve"> (бег, ходьба, прямохождение и </w:t>
      </w:r>
      <w:r>
        <w:rPr>
          <w:sz w:val="28"/>
        </w:rPr>
        <w:t>др</w:t>
      </w:r>
      <w:r>
        <w:rPr>
          <w:sz w:val="28"/>
        </w:rPr>
        <w:t>)</w:t>
      </w:r>
      <w:r>
        <w:rPr>
          <w:sz w:val="28"/>
        </w:rPr>
        <w:t>.</w:t>
      </w:r>
    </w:p>
    <w:p w14:paraId="27000000">
      <w:pPr>
        <w:pStyle w:val="Style_1"/>
        <w:numPr>
          <w:ilvl w:val="0"/>
          <w:numId w:val="1"/>
        </w:numPr>
        <w:spacing w:before="2"/>
        <w:ind w:right="136"/>
        <w:rPr>
          <w:sz w:val="28"/>
        </w:rPr>
      </w:pPr>
      <w:r>
        <w:rPr>
          <w:sz w:val="28"/>
        </w:rPr>
        <w:t xml:space="preserve">Обращайте внимание на психологическую готовность ребенка к </w:t>
      </w:r>
      <w:r>
        <w:rPr>
          <w:spacing w:val="-2"/>
          <w:sz w:val="28"/>
        </w:rPr>
        <w:t>преодолению</w:t>
      </w:r>
      <w:r>
        <w:rPr>
          <w:sz w:val="28"/>
        </w:rPr>
        <w:t xml:space="preserve"> </w:t>
      </w:r>
      <w:r>
        <w:rPr>
          <w:spacing w:val="-2"/>
          <w:sz w:val="28"/>
        </w:rPr>
        <w:t>трудностей</w:t>
      </w:r>
      <w:r>
        <w:rPr>
          <w:sz w:val="28"/>
        </w:rPr>
        <w:t xml:space="preserve"> (доверие, желание, настойчивость в достижении цели, упорство, трудолюбие и </w:t>
      </w:r>
      <w:r>
        <w:rPr>
          <w:sz w:val="28"/>
        </w:rPr>
        <w:t>адекватную самооценку</w:t>
      </w:r>
      <w:r>
        <w:rPr>
          <w:sz w:val="28"/>
        </w:rPr>
        <w:t>, а также достаточный объем внимания и памяти, анализ своих восприятий).</w:t>
      </w:r>
    </w:p>
    <w:p w14:paraId="28000000">
      <w:pPr>
        <w:pStyle w:val="Style_1"/>
        <w:numPr>
          <w:ilvl w:val="0"/>
          <w:numId w:val="1"/>
        </w:numPr>
        <w:spacing w:before="2"/>
        <w:ind w:right="136"/>
        <w:rPr>
          <w:sz w:val="28"/>
        </w:rPr>
      </w:pPr>
      <w:r>
        <w:rPr>
          <w:sz w:val="28"/>
        </w:rPr>
        <w:t>Подготовить ребенка к испо</w:t>
      </w:r>
      <w:r>
        <w:rPr>
          <w:sz w:val="28"/>
        </w:rPr>
        <w:t>льзованию трости в ориентировке (принятие трости, не стесняясь ее).</w:t>
      </w:r>
    </w:p>
    <w:p w14:paraId="29000000">
      <w:pPr>
        <w:pStyle w:val="Style_1"/>
        <w:numPr>
          <w:ilvl w:val="0"/>
          <w:numId w:val="1"/>
        </w:numPr>
        <w:spacing w:before="2"/>
        <w:ind w:right="136"/>
        <w:rPr>
          <w:sz w:val="28"/>
        </w:rPr>
      </w:pPr>
      <w:r>
        <w:rPr>
          <w:sz w:val="28"/>
        </w:rPr>
        <w:t>Приучайте ребенка</w:t>
      </w:r>
      <w:r>
        <w:rPr>
          <w:sz w:val="28"/>
        </w:rPr>
        <w:t xml:space="preserve"> к выполнению</w:t>
      </w:r>
      <w:r>
        <w:rPr>
          <w:sz w:val="28"/>
        </w:rPr>
        <w:t xml:space="preserve"> заданий самостоятельно (накрыть на стол, составить на полку игрушки и т.д.). </w:t>
      </w:r>
    </w:p>
    <w:p w14:paraId="2A000000">
      <w:pPr>
        <w:pStyle w:val="Style_1"/>
        <w:numPr>
          <w:ilvl w:val="0"/>
          <w:numId w:val="1"/>
        </w:numPr>
        <w:ind w:right="134"/>
        <w:rPr>
          <w:sz w:val="28"/>
        </w:rPr>
      </w:pPr>
      <w:r>
        <w:rPr>
          <w:sz w:val="28"/>
        </w:rPr>
        <w:t xml:space="preserve">Залог успешной ориентировки в пространстве </w:t>
      </w:r>
      <w:r>
        <w:rPr>
          <w:sz w:val="28"/>
        </w:rPr>
        <w:t>— это</w:t>
      </w:r>
      <w:r>
        <w:rPr>
          <w:sz w:val="28"/>
        </w:rPr>
        <w:t xml:space="preserve"> доведение сформированных навыков до автоматизма.</w:t>
      </w:r>
    </w:p>
    <w:p w14:paraId="2B000000">
      <w:pPr>
        <w:pStyle w:val="Style_1"/>
        <w:ind w:firstLine="0" w:left="362" w:right="134"/>
        <w:rPr>
          <w:sz w:val="28"/>
        </w:rPr>
      </w:pPr>
    </w:p>
    <w:p w14:paraId="2C000000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  </w:t>
      </w:r>
    </w:p>
    <w:p w14:paraId="2D000000">
      <w:pPr>
        <w:spacing w:line="240" w:lineRule="auto"/>
        <w:ind w:firstLine="708"/>
        <w:jc w:val="both"/>
        <w:rPr>
          <w:rFonts w:ascii="Times New Roman" w:hAnsi="Times New Roman"/>
          <w:b w:val="1"/>
          <w:color w:val="00B050"/>
          <w:sz w:val="28"/>
        </w:rPr>
      </w:pPr>
      <w:r>
        <w:rPr>
          <w:rFonts w:ascii="Times New Roman" w:hAnsi="Times New Roman"/>
          <w:b w:val="1"/>
          <w:color w:val="00B050"/>
          <w:sz w:val="28"/>
          <w:highlight w:val="white"/>
        </w:rPr>
        <w:t>Полноценная жизнь в условиях отсутствия зрения возможна, но эта не простая задача, и то, насколько успешно ее решит незрячий ребенок, во многом зависит от слаженной работы родителей и педагогов.</w:t>
      </w:r>
    </w:p>
    <w:p w14:paraId="2E000000">
      <w:r>
        <w:rPr>
          <w:rFonts w:ascii="Arial" w:hAnsi="Arial"/>
          <w:color w:val="000000"/>
          <w:sz w:val="21"/>
          <w:highlight w:val="white"/>
        </w:rPr>
        <w:t xml:space="preserve">   </w:t>
      </w:r>
      <w:r>
        <w:rPr>
          <w:rFonts w:ascii="Arial" w:hAnsi="Arial"/>
          <w:color w:val="000000"/>
          <w:sz w:val="21"/>
          <w:highlight w:val="white"/>
        </w:rPr>
        <w:t>.</w:t>
      </w:r>
    </w:p>
    <w:p w14:paraId="2F000000"/>
    <w:p w14:paraId="30000000"/>
    <w:p w14:paraId="31000000"/>
    <w:p w14:paraId="32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6"/>
        </w:rPr>
      </w:pPr>
    </w:p>
    <w:p w14:paraId="33000000">
      <w:pPr>
        <w:widowControl w:val="0"/>
        <w:spacing w:after="0" w:line="276" w:lineRule="auto"/>
        <w:ind/>
        <w:jc w:val="center"/>
        <w:rPr>
          <w:rFonts w:ascii="Times New Roman" w:hAnsi="Times New Roman"/>
          <w:b w:val="1"/>
          <w:color w:val="00B050"/>
          <w:sz w:val="26"/>
        </w:rPr>
      </w:pPr>
    </w:p>
    <w:p w14:paraId="34000000">
      <w:pPr>
        <w:spacing w:afterAutospacing="on" w:beforeAutospacing="on" w:line="240" w:lineRule="auto"/>
        <w:ind w:left="720"/>
        <w:jc w:val="center"/>
        <w:rPr>
          <w:rFonts w:ascii="Times New Roman" w:hAnsi="Times New Roman"/>
          <w:b w:val="1"/>
          <w:color w:val="00B050"/>
          <w:sz w:val="28"/>
          <w:highlight w:val="white"/>
        </w:rPr>
      </w:pPr>
    </w:p>
    <w:p w14:paraId="35000000">
      <w:pPr>
        <w:spacing w:afterAutospacing="on" w:beforeAutospacing="on" w:line="240" w:lineRule="auto"/>
        <w:ind/>
        <w:jc w:val="center"/>
        <w:rPr>
          <w:rFonts w:ascii="Times New Roman" w:hAnsi="Times New Roman"/>
          <w:b w:val="1"/>
          <w:color w:val="00B050"/>
          <w:highlight w:val="white"/>
        </w:rPr>
      </w:pPr>
      <w:r>
        <w:rPr>
          <w:rFonts w:ascii="Times New Roman" w:hAnsi="Times New Roman"/>
          <w:b w:val="1"/>
          <w:color w:val="00B050"/>
          <w:sz w:val="28"/>
        </w:rPr>
        <w:t xml:space="preserve">           </w:t>
      </w:r>
    </w:p>
    <w:sectPr>
      <w:pgSz w:h="11906" w:orient="landscape" w:w="16838"/>
      <w:pgMar w:bottom="567" w:footer="709" w:gutter="0" w:header="709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2"/>
      </w:pPr>
    </w:lvl>
    <w:lvl w:ilvl="1">
      <w:start w:val="1"/>
      <w:numFmt w:val="lowerLetter"/>
      <w:lvlText w:val="%2."/>
      <w:lvlJc w:val="left"/>
      <w:pPr>
        <w:ind w:hanging="360" w:left="1082"/>
      </w:pPr>
    </w:lvl>
    <w:lvl w:ilvl="2">
      <w:start w:val="1"/>
      <w:numFmt w:val="lowerRoman"/>
      <w:lvlText w:val="%3."/>
      <w:lvlJc w:val="right"/>
      <w:pPr>
        <w:ind w:hanging="180" w:left="1802"/>
      </w:pPr>
    </w:lvl>
    <w:lvl w:ilvl="3">
      <w:start w:val="1"/>
      <w:numFmt w:val="decimal"/>
      <w:lvlText w:val="%4."/>
      <w:lvlJc w:val="left"/>
      <w:pPr>
        <w:ind w:hanging="360" w:left="2522"/>
      </w:pPr>
    </w:lvl>
    <w:lvl w:ilvl="4">
      <w:start w:val="1"/>
      <w:numFmt w:val="lowerLetter"/>
      <w:lvlText w:val="%5."/>
      <w:lvlJc w:val="left"/>
      <w:pPr>
        <w:ind w:hanging="360" w:left="3242"/>
      </w:pPr>
    </w:lvl>
    <w:lvl w:ilvl="5">
      <w:start w:val="1"/>
      <w:numFmt w:val="lowerRoman"/>
      <w:lvlText w:val="%6."/>
      <w:lvlJc w:val="right"/>
      <w:pPr>
        <w:ind w:hanging="180" w:left="3962"/>
      </w:pPr>
    </w:lvl>
    <w:lvl w:ilvl="6">
      <w:start w:val="1"/>
      <w:numFmt w:val="decimal"/>
      <w:lvlText w:val="%7."/>
      <w:lvlJc w:val="left"/>
      <w:pPr>
        <w:ind w:hanging="360" w:left="4682"/>
      </w:pPr>
    </w:lvl>
    <w:lvl w:ilvl="7">
      <w:start w:val="1"/>
      <w:numFmt w:val="lowerLetter"/>
      <w:lvlText w:val="%8."/>
      <w:lvlJc w:val="left"/>
      <w:pPr>
        <w:ind w:hanging="360" w:left="5402"/>
      </w:pPr>
    </w:lvl>
    <w:lvl w:ilvl="8">
      <w:start w:val="1"/>
      <w:numFmt w:val="lowerRoman"/>
      <w:lvlText w:val="%9."/>
      <w:lvlJc w:val="right"/>
      <w:pPr>
        <w:ind w:hanging="180" w:left="6122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2" w:type="paragraph">
    <w:name w:val="Hyperlink"/>
    <w:basedOn w:val="Style_11"/>
    <w:link w:val="Style_2_ch"/>
    <w:rPr>
      <w:color w:val="0000FF"/>
      <w:u w:val="single"/>
    </w:rPr>
  </w:style>
  <w:style w:styleId="Style_2_ch" w:type="character">
    <w:name w:val="Hyperlink"/>
    <w:basedOn w:val="Style_11_ch"/>
    <w:link w:val="Style_2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" w:type="paragraph">
    <w:name w:val="Body Text"/>
    <w:basedOn w:val="Style_3"/>
    <w:link w:val="Style_1_ch"/>
    <w:pPr>
      <w:widowControl w:val="0"/>
      <w:spacing w:after="0" w:before="1" w:line="240" w:lineRule="auto"/>
      <w:ind w:firstLine="707" w:left="2" w:right="137"/>
      <w:jc w:val="both"/>
    </w:pPr>
    <w:rPr>
      <w:rFonts w:ascii="Times New Roman" w:hAnsi="Times New Roman"/>
      <w:sz w:val="40"/>
    </w:rPr>
  </w:style>
  <w:style w:styleId="Style_1_ch" w:type="character">
    <w:name w:val="Body Text"/>
    <w:basedOn w:val="Style_3_ch"/>
    <w:link w:val="Style_1"/>
    <w:rPr>
      <w:rFonts w:ascii="Times New Roman" w:hAnsi="Times New Roman"/>
      <w:sz w:val="40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media/1.png" Type="http://schemas.openxmlformats.org/officeDocument/2006/relationships/image"/>
  <Relationship Id="rId10" Target="numbering.xml" Type="http://schemas.openxmlformats.org/officeDocument/2006/relationships/numbering"/>
  <Relationship Id="rId2" Target="media/2.jpeg" Type="http://schemas.openxmlformats.org/officeDocument/2006/relationships/image"/>
  <Relationship Id="rId3" Target="media/3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2025-10-20T04:37:25Z</dcterms:modified>
</cp:coreProperties>
</file>