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Краевое государственное бюджетное общеобразовательное учреждение,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реализующее адапт</w:t>
      </w:r>
      <w:r>
        <w:rPr>
          <w:rFonts w:ascii="Times New Roman" w:hAnsi="Times New Roman"/>
          <w:sz w:val="24"/>
        </w:rPr>
        <w:t xml:space="preserve">ированные основные общеобразовательные программы 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«Школа-интернат №2»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школы-интерната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_______________Веселовская М.А.</w:t>
      </w:r>
    </w:p>
    <w:p w14:paraId="07000000">
      <w:pPr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«02»  сентября </w:t>
      </w:r>
      <w:bookmarkStart w:id="1" w:name="_GoBack"/>
      <w:bookmarkEnd w:id="1"/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г.</w:t>
      </w:r>
    </w:p>
    <w:p w14:paraId="08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Дорожная карта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Краевого ресурсного центра сопровождения инклюзивного образования</w:t>
      </w:r>
      <w:r>
        <w:rPr>
          <w:rFonts w:ascii="Times New Roman" w:hAnsi="Times New Roman"/>
          <w:sz w:val="28"/>
        </w:rPr>
        <w:t xml:space="preserve"> (КРЦ)</w:t>
      </w:r>
      <w:r>
        <w:rPr>
          <w:rFonts w:ascii="Times New Roman" w:hAnsi="Times New Roman"/>
          <w:sz w:val="28"/>
        </w:rPr>
        <w:t>-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Краевого государственного бюджетного общеобразовательного учреждения,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реализующего адаптированные основные общеобразовательные программы «Школа-интернат №2» 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Цель: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>Совершенствование деятельности КГБОУ ШИ 2 как ресурсного центра по сопровождению инклюзивного образования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детей с ОВЗ по зрению в Хабаровском крае.</w:t>
      </w:r>
    </w:p>
    <w:p w14:paraId="1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Задачи</w:t>
      </w:r>
      <w:r>
        <w:rPr>
          <w:rFonts w:ascii="Times New Roman" w:hAnsi="Times New Roman"/>
          <w:b w:val="1"/>
          <w:sz w:val="26"/>
        </w:rPr>
        <w:t>:</w:t>
      </w:r>
    </w:p>
    <w:p w14:paraId="11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Создание системы мониторинга и учета численности детей с ОВЗ по зрению, нуждающихся в психолого-педагогической, </w:t>
      </w:r>
      <w:r>
        <w:rPr>
          <w:rFonts w:ascii="Times New Roman" w:hAnsi="Times New Roman"/>
          <w:sz w:val="26"/>
        </w:rPr>
        <w:t xml:space="preserve">тифлопедагогической, </w:t>
      </w:r>
      <w:r>
        <w:rPr>
          <w:rFonts w:ascii="Times New Roman" w:hAnsi="Times New Roman"/>
          <w:sz w:val="26"/>
        </w:rPr>
        <w:t>медицинской и социальной помощи, а также ОУ и ДОУ, обучающих детей с ОВЗ по зрению, в Хабаровском крае.</w:t>
      </w:r>
    </w:p>
    <w:p w14:paraId="12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Расширение системы взаимодействия</w:t>
      </w:r>
      <w:r>
        <w:rPr>
          <w:rFonts w:ascii="Times New Roman" w:hAnsi="Times New Roman"/>
          <w:sz w:val="26"/>
        </w:rPr>
        <w:t xml:space="preserve"> КРЦ-</w:t>
      </w:r>
      <w:r>
        <w:rPr>
          <w:rFonts w:ascii="Times New Roman" w:hAnsi="Times New Roman"/>
          <w:sz w:val="26"/>
        </w:rPr>
        <w:t xml:space="preserve"> с муниципальным ресурсным центром сопровождения инклюзивного образования (</w:t>
      </w:r>
      <w:r>
        <w:rPr>
          <w:rFonts w:ascii="Times New Roman" w:hAnsi="Times New Roman"/>
          <w:sz w:val="26"/>
        </w:rPr>
        <w:t>МРЦ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13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Реализация мероприятий консалтингового сопровождения ОО по вопросам инклюзивного образования детей с ОВЗ по зрению.</w:t>
      </w:r>
    </w:p>
    <w:p w14:paraId="14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Оказание информационно-просветительской, консультативной и методической помощи семьям, имеющих детей с ОВЗ по зрению, обучающихся в условиях инклюзии в Хабаровском крае.</w:t>
      </w:r>
    </w:p>
    <w:p w14:paraId="15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Модернизация наполнения сайта «Ресурсная сеть края для педагогов, обучающих детей с ОВЗ по зрению».</w:t>
      </w:r>
    </w:p>
    <w:p w14:paraId="1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Планируемые результаты</w:t>
      </w:r>
      <w:r>
        <w:rPr>
          <w:rFonts w:ascii="Times New Roman" w:hAnsi="Times New Roman"/>
          <w:sz w:val="26"/>
        </w:rPr>
        <w:t>:</w:t>
      </w:r>
    </w:p>
    <w:p w14:paraId="18000000">
      <w:pPr>
        <w:widowControl w:val="0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Выявление детей с ОВЗ по зрению, проживающих в Хабаровском крае, которые нуждаются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психолого-педагогической, медицинской и социальной помощи, и обновление базы данных по детям с ОВЗ по зрению и ОУ, которые их обучают.</w:t>
      </w:r>
    </w:p>
    <w:p w14:paraId="19000000">
      <w:pPr>
        <w:widowControl w:val="0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Расширение системы взаимного сотрудничества по сопровождению детей с ОВЗ</w:t>
      </w:r>
      <w:r>
        <w:rPr>
          <w:rFonts w:ascii="Times New Roman" w:hAnsi="Times New Roman"/>
          <w:sz w:val="26"/>
        </w:rPr>
        <w:t xml:space="preserve"> по зрению между КРЦ- МРЦ </w:t>
      </w:r>
    </w:p>
    <w:p w14:paraId="1A000000">
      <w:pPr>
        <w:widowControl w:val="0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Продолжение работы </w:t>
      </w:r>
      <w:r>
        <w:rPr>
          <w:rFonts w:ascii="Times New Roman" w:hAnsi="Times New Roman"/>
          <w:sz w:val="26"/>
        </w:rPr>
        <w:t xml:space="preserve">КРЦ- </w:t>
      </w:r>
      <w:r>
        <w:rPr>
          <w:rFonts w:ascii="Times New Roman" w:hAnsi="Times New Roman"/>
          <w:sz w:val="26"/>
        </w:rPr>
        <w:t xml:space="preserve">КГБОУ ШИ 2 по повышению тифлопедагогической и </w:t>
      </w:r>
      <w:r>
        <w:rPr>
          <w:rFonts w:ascii="Times New Roman" w:hAnsi="Times New Roman"/>
          <w:sz w:val="26"/>
        </w:rPr>
        <w:t>тифлопсихологической</w:t>
      </w:r>
      <w:r>
        <w:rPr>
          <w:rFonts w:ascii="Times New Roman" w:hAnsi="Times New Roman"/>
          <w:sz w:val="26"/>
        </w:rPr>
        <w:t xml:space="preserve"> компетентности педагогов ОО края, работающих с детьми с ОВЗ по зрению, через участие в </w:t>
      </w:r>
      <w:r>
        <w:rPr>
          <w:rFonts w:ascii="Times New Roman" w:hAnsi="Times New Roman"/>
          <w:sz w:val="26"/>
        </w:rPr>
        <w:t xml:space="preserve">семинарах, </w:t>
      </w:r>
      <w:r>
        <w:rPr>
          <w:rFonts w:ascii="Times New Roman" w:hAnsi="Times New Roman"/>
          <w:sz w:val="26"/>
        </w:rPr>
        <w:t xml:space="preserve">стажировках в качестве базовой </w:t>
      </w:r>
      <w:r>
        <w:rPr>
          <w:rFonts w:ascii="Times New Roman" w:hAnsi="Times New Roman"/>
          <w:sz w:val="26"/>
        </w:rPr>
        <w:t>площадки ХК ИРО по работе с детьми с нарушениями зрения.</w:t>
      </w:r>
    </w:p>
    <w:p w14:paraId="1B000000">
      <w:pPr>
        <w:widowControl w:val="0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Увеличение количества семей, воспитывающих детей с ОВЗ по зрению, сопровождаемых специалистами КЦОЗ</w:t>
      </w:r>
      <w:r>
        <w:rPr>
          <w:rFonts w:ascii="Times New Roman" w:hAnsi="Times New Roman"/>
          <w:sz w:val="26"/>
        </w:rPr>
        <w:t xml:space="preserve">, оказание им психологической поддержки, а также повышение тифлопедагогической и </w:t>
      </w:r>
      <w:r>
        <w:rPr>
          <w:rFonts w:ascii="Times New Roman" w:hAnsi="Times New Roman"/>
          <w:sz w:val="26"/>
        </w:rPr>
        <w:t>тифлопсихологической</w:t>
      </w:r>
      <w:r>
        <w:rPr>
          <w:rFonts w:ascii="Times New Roman" w:hAnsi="Times New Roman"/>
          <w:sz w:val="26"/>
        </w:rPr>
        <w:t xml:space="preserve"> компетентности родителей данных детей.</w:t>
      </w:r>
    </w:p>
    <w:p w14:paraId="1C000000">
      <w:pPr>
        <w:widowControl w:val="0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Повышение эффективности работы рубрики школьного сайта«Открытая сетевая школа», его популяризация и привлечение новых пользователей.</w:t>
      </w:r>
    </w:p>
    <w:p w14:paraId="1D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4"/>
          <w:highlight w:val="white"/>
        </w:rPr>
        <w:t>Е</w:t>
      </w:r>
      <w:r>
        <w:rPr>
          <w:rFonts w:ascii="Times New Roman" w:hAnsi="Times New Roman"/>
          <w:b w:val="1"/>
          <w:i w:val="0"/>
          <w:caps w:val="0"/>
          <w:color w:val="000000"/>
          <w:spacing w:val="-2"/>
          <w:sz w:val="24"/>
          <w:highlight w:val="white"/>
        </w:rPr>
        <w:t xml:space="preserve">диная методическая тема на 2024 -2025 уч.год "«Система работы с семьей обучающихся с ОВЗ </w:t>
      </w:r>
    </w:p>
    <w:p w14:paraId="1E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-2"/>
          <w:sz w:val="24"/>
          <w:highlight w:val="white"/>
        </w:rPr>
        <w:t xml:space="preserve">как </w:t>
      </w:r>
      <w:r>
        <w:rPr>
          <w:rFonts w:ascii="Times New Roman" w:hAnsi="Times New Roman"/>
          <w:b w:val="1"/>
          <w:i w:val="0"/>
          <w:caps w:val="0"/>
          <w:color w:val="000000"/>
          <w:spacing w:val="-2"/>
          <w:sz w:val="24"/>
          <w:highlight w:val="white"/>
        </w:rPr>
        <w:t xml:space="preserve"> компонент образовательной среды школы»</w:t>
      </w:r>
    </w:p>
    <w:p w14:paraId="1F000000">
      <w:pPr>
        <w:widowControl w:val="0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ероприятия по реализации </w:t>
      </w:r>
      <w:r>
        <w:rPr>
          <w:rFonts w:ascii="Times New Roman" w:hAnsi="Times New Roman"/>
          <w:b w:val="1"/>
          <w:sz w:val="28"/>
        </w:rPr>
        <w:t>деятельности КРЦ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Ind w:type="dxa" w:w="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0"/>
        <w:gridCol w:w="6592"/>
        <w:gridCol w:w="2010"/>
        <w:gridCol w:w="2659"/>
        <w:gridCol w:w="2756"/>
      </w:tblGrid>
      <w:tr>
        <w:trPr>
          <w:trHeight w:hRule="atLeast" w:val="463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14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Организационно-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деятельностный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компонент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hanging="666" w:left="71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реализации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результат практический и научно-методический результат, продукт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 w:hanging="666" w:left="71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1.1.</w:t>
            </w:r>
          </w:p>
        </w:tc>
        <w:tc>
          <w:tcPr>
            <w:tcW w:type="dxa" w:w="14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Нормативно-правовое регулирование орга</w:t>
            </w:r>
            <w:r>
              <w:rPr>
                <w:rFonts w:ascii="Times New Roman" w:hAnsi="Times New Roman"/>
                <w:b w:val="1"/>
                <w:sz w:val="24"/>
              </w:rPr>
              <w:t>низуемой деятельности организации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статусе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.1.1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 необходимого нормативно-правового, учебно-</w:t>
            </w:r>
            <w:r>
              <w:rPr>
                <w:rFonts w:ascii="Times New Roman" w:hAnsi="Times New Roman"/>
                <w:sz w:val="24"/>
              </w:rPr>
              <w:t xml:space="preserve">методического, информационного обеспечения деятельности </w:t>
            </w:r>
            <w:r>
              <w:rPr>
                <w:rFonts w:ascii="Times New Roman" w:hAnsi="Times New Roman"/>
                <w:sz w:val="24"/>
              </w:rPr>
              <w:t>ОО в статусе КРЦ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Сентябрь 2024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правовое, учебно-методическое, информационное обеспечение деятельности ОО как ресурсного центра </w:t>
            </w:r>
            <w:r>
              <w:rPr>
                <w:rFonts w:ascii="Times New Roman" w:hAnsi="Times New Roman"/>
                <w:sz w:val="24"/>
              </w:rPr>
              <w:t>сопровождения инклюзивного образования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КГБОУ ШИ 2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соглашений с муниципальными ресурсными центрами (МРЦ)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Соглашения о совместной деятельности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.1.2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с</w:t>
            </w:r>
            <w:r>
              <w:rPr>
                <w:rFonts w:ascii="Times New Roman" w:hAnsi="Times New Roman"/>
                <w:sz w:val="24"/>
              </w:rPr>
              <w:t xml:space="preserve">дача </w:t>
            </w:r>
            <w:r>
              <w:rPr>
                <w:rFonts w:ascii="Times New Roman" w:hAnsi="Times New Roman"/>
                <w:sz w:val="24"/>
              </w:rPr>
              <w:t xml:space="preserve">статистических и аналитических </w:t>
            </w:r>
            <w:r>
              <w:rPr>
                <w:rFonts w:ascii="Times New Roman" w:hAnsi="Times New Roman"/>
                <w:sz w:val="24"/>
              </w:rPr>
              <w:t xml:space="preserve">отчетов о </w:t>
            </w:r>
            <w:r>
              <w:rPr>
                <w:rFonts w:ascii="Times New Roman" w:hAnsi="Times New Roman"/>
                <w:sz w:val="24"/>
              </w:rPr>
              <w:t>промежуточных результатах КРЦ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екабрь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2024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Май 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тчет о промежуточных результатах организации </w:t>
            </w:r>
            <w:r>
              <w:rPr>
                <w:rFonts w:ascii="Times New Roman" w:hAnsi="Times New Roman"/>
                <w:sz w:val="24"/>
              </w:rPr>
              <w:t>КРЦ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 w:hanging="666" w:left="71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1.2</w:t>
            </w:r>
          </w:p>
        </w:tc>
        <w:tc>
          <w:tcPr>
            <w:tcW w:type="dxa" w:w="14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 деятельности образовательной организации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статусе КРЦ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.2.1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</w:t>
            </w:r>
            <w:r>
              <w:rPr>
                <w:rFonts w:ascii="Times New Roman" w:hAnsi="Times New Roman"/>
                <w:sz w:val="24"/>
              </w:rPr>
              <w:t xml:space="preserve"> обязанностей между членами </w:t>
            </w:r>
            <w:r>
              <w:rPr>
                <w:rFonts w:ascii="Times New Roman" w:hAnsi="Times New Roman"/>
                <w:sz w:val="24"/>
              </w:rPr>
              <w:t>КРЦ</w:t>
            </w:r>
            <w:r>
              <w:rPr>
                <w:rFonts w:ascii="Times New Roman" w:hAnsi="Times New Roman"/>
                <w:sz w:val="24"/>
              </w:rPr>
              <w:t xml:space="preserve"> (создание </w:t>
            </w:r>
            <w:r>
              <w:rPr>
                <w:rFonts w:ascii="Times New Roman" w:hAnsi="Times New Roman"/>
                <w:sz w:val="24"/>
              </w:rPr>
              <w:t>инициативной</w:t>
            </w:r>
            <w:r>
              <w:rPr>
                <w:rFonts w:ascii="Times New Roman" w:hAnsi="Times New Roman"/>
                <w:sz w:val="24"/>
              </w:rPr>
              <w:t xml:space="preserve"> группы), организация работы КРЦ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2024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кроссфункциональной</w:t>
            </w:r>
            <w:r>
              <w:rPr>
                <w:rFonts w:ascii="Times New Roman" w:hAnsi="Times New Roman"/>
                <w:sz w:val="24"/>
              </w:rPr>
              <w:t xml:space="preserve"> команды, организация работы 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КГБОУ ШИ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 xml:space="preserve">Руководитель КЦОЗ 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.2.2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 с кураторами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ЦК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 и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 xml:space="preserve"> ИО  </w:t>
            </w:r>
            <w:r>
              <w:rPr>
                <w:rFonts w:ascii="Times New Roman" w:hAnsi="Times New Roman"/>
                <w:sz w:val="24"/>
              </w:rPr>
              <w:t>КГАОУ ДПО ХК ИРО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Консультация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1171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.2.3</w:t>
            </w:r>
          </w:p>
        </w:tc>
        <w:tc>
          <w:tcPr>
            <w:tcW w:type="dxa" w:w="6592"/>
            <w:tcBorders>
              <w:top w:sz="4" w:themeColor="text1" w:themeTint="66" w:val="single"/>
              <w:left w:sz="4" w:themeColor="text1" w:themeTint="66" w:val="single"/>
              <w:bottom w:sz="4" w:themeColor="text1" w:themeTint="66" w:val="single"/>
              <w:right w:sz="4" w:themeColor="text1" w:themeTint="66" w:val="single"/>
            </w:tcBorders>
          </w:tcPr>
          <w:p w14:paraId="4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краевых </w:t>
            </w:r>
            <w:r>
              <w:rPr>
                <w:rFonts w:ascii="Times New Roman" w:hAnsi="Times New Roman"/>
                <w:sz w:val="24"/>
                <w:u w:val="single"/>
              </w:rPr>
              <w:t>модельных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семинарах</w:t>
            </w:r>
            <w:r>
              <w:rPr>
                <w:rFonts w:ascii="Times New Roman" w:hAnsi="Times New Roman"/>
                <w:sz w:val="24"/>
              </w:rPr>
              <w:t xml:space="preserve"> для муниципальных ресурсных центров сопровождения инклюзивного образовани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</w:rPr>
              <w:t xml:space="preserve">в соответствии с тематикой методических рекомендаций ФГБНУ "Институт коррекционной педагогики",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2"/>
                <w:sz w:val="24"/>
                <w:highlight w:val="white"/>
              </w:rPr>
              <w:t>Единой методической темы на 2024 -2025 уч.год "«Система работы с семьей обучающихся с ОВЗ как компонент образовательной среды школы»</w:t>
            </w:r>
          </w:p>
          <w:p w14:paraId="4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10"/>
            <w:tcBorders>
              <w:top w:sz="4" w:themeColor="text1" w:themeTint="66" w:val="single"/>
              <w:left w:sz="4" w:themeColor="text1" w:themeTint="66" w:val="single"/>
              <w:bottom w:sz="4" w:themeColor="text1" w:themeTint="66" w:val="single"/>
              <w:right w:sz="4" w:themeColor="text1" w:themeTint="66" w:val="single"/>
            </w:tcBorders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краевом модельном семинаре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УВР КГБОУ ШИ 2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.2.4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бучающих </w:t>
            </w:r>
            <w:r>
              <w:rPr>
                <w:rFonts w:ascii="Times New Roman" w:hAnsi="Times New Roman"/>
                <w:sz w:val="24"/>
                <w:u w:val="single"/>
              </w:rPr>
              <w:t>семинарах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муниципальных ресурсных центров сопровождения инклюзивного образования </w:t>
            </w:r>
            <w:r>
              <w:rPr>
                <w:rFonts w:ascii="Times New Roman" w:hAnsi="Times New Roman"/>
              </w:rPr>
              <w:t>в в соответствии с тематикой методических рекомендаций ФГБНУ "Институт коррекционной педагогики"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2"/>
                <w:sz w:val="24"/>
                <w:highlight w:val="white"/>
              </w:rPr>
              <w:t xml:space="preserve"> Единой методической темы на 2024 -2025 уч.год "«Система работы с семьей обучающихся с ОВЗ как компонент образовательной среды школы»</w:t>
            </w:r>
          </w:p>
          <w:p w14:paraId="5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5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краевом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обучающем </w:t>
            </w:r>
            <w:r>
              <w:rPr>
                <w:rFonts w:ascii="Times New Roman" w:hAnsi="Times New Roman"/>
                <w:color w:val="000000"/>
                <w:sz w:val="24"/>
              </w:rPr>
              <w:t>семинаре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УВР КГБОУ ШИ 2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u w:val="single"/>
              </w:rPr>
              <w:t>вебинаров</w:t>
            </w:r>
            <w:r>
              <w:rPr>
                <w:rFonts w:ascii="Times New Roman" w:hAnsi="Times New Roman"/>
                <w:sz w:val="24"/>
              </w:rPr>
              <w:t xml:space="preserve"> для муниципальных ресурсных центров </w:t>
            </w:r>
            <w:r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-2"/>
                <w:sz w:val="24"/>
                <w:highlight w:val="white"/>
              </w:rPr>
              <w:t>Единой методической темы на 2024 -2025 уч.год "«Система работы с семьей обучающихся с ОВЗ по зрению как компонент образовательной среды школы»</w:t>
            </w:r>
          </w:p>
          <w:p w14:paraId="5D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2025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Вебинар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УВР КГБОУ ШИ 2</w:t>
            </w:r>
          </w:p>
        </w:tc>
      </w:tr>
      <w:tr>
        <w:trPr>
          <w:trHeight w:hRule="atLeast" w:val="379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 w:hanging="666" w:left="7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</w:t>
            </w:r>
            <w:r>
              <w:rPr>
                <w:rFonts w:ascii="Times New Roman" w:hAnsi="Times New Roman"/>
                <w:sz w:val="24"/>
              </w:rPr>
              <w:t>тажировок</w:t>
            </w:r>
            <w:r>
              <w:rPr>
                <w:rFonts w:ascii="Times New Roman" w:hAnsi="Times New Roman"/>
                <w:sz w:val="24"/>
              </w:rPr>
              <w:t xml:space="preserve"> для муниципальных ресурсных центров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Стажировка/ стажерская практика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  <w:p w14:paraId="6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УВР КГБОУ ШИ 2</w:t>
            </w:r>
          </w:p>
        </w:tc>
      </w:tr>
      <w:tr>
        <w:trPr>
          <w:trHeight w:hRule="atLeast" w:val="420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 w:firstLine="0" w:left="36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II.</w:t>
            </w:r>
          </w:p>
        </w:tc>
        <w:tc>
          <w:tcPr>
            <w:tcW w:type="dxa" w:w="14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Информационно-методическое распространение опыта 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</w:t>
            </w:r>
            <w:r>
              <w:rPr>
                <w:rFonts w:ascii="Times New Roman" w:hAnsi="Times New Roman"/>
                <w:sz w:val="24"/>
              </w:rPr>
              <w:t xml:space="preserve"> страницы </w:t>
            </w:r>
            <w:r>
              <w:rPr>
                <w:rFonts w:ascii="Times New Roman" w:hAnsi="Times New Roman"/>
                <w:sz w:val="24"/>
              </w:rPr>
              <w:t>КРЦ</w:t>
            </w:r>
            <w:r>
              <w:rPr>
                <w:rFonts w:ascii="Times New Roman" w:hAnsi="Times New Roman"/>
                <w:sz w:val="24"/>
              </w:rPr>
              <w:t xml:space="preserve"> на сайте школы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2024-2025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Страничка сайта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277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деятельности КРЦ в СМИ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2024-2025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убликация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277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1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Обновление и совершенствование рубрики «Открытая сетевая школа»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2024-2025 г.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Рубрика сайта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КЦОЗ</w:t>
            </w:r>
          </w:p>
        </w:tc>
      </w:tr>
      <w:tr>
        <w:trPr>
          <w:trHeight w:hRule="atLeast" w:val="702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III.</w:t>
            </w:r>
          </w:p>
        </w:tc>
        <w:tc>
          <w:tcPr>
            <w:tcW w:type="dxa" w:w="14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Создание комплекта информационного и мет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одического сопровождения КРЦ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(продукты)</w:t>
            </w:r>
          </w:p>
        </w:tc>
      </w:tr>
      <w:tr>
        <w:trPr>
          <w:trHeight w:hRule="atLeast" w:val="278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6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и методических продуктов для Открытой сетевой школы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2025</w:t>
            </w:r>
          </w:p>
        </w:tc>
        <w:tc>
          <w:tcPr>
            <w:tcW w:type="dxa" w:w="2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Образовательные кейсы</w:t>
            </w:r>
          </w:p>
        </w:tc>
        <w:tc>
          <w:tcPr>
            <w:tcW w:type="dxa" w:w="2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КЦОЗ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УВР КГБОУ ШИ 2</w:t>
            </w:r>
          </w:p>
        </w:tc>
      </w:tr>
    </w:tbl>
    <w:p w14:paraId="83000000">
      <w:pPr>
        <w:spacing w:before="3" w:line="322" w:lineRule="exact"/>
        <w:ind w:firstLine="0" w:left="-519" w:right="207"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ПРИЛОЖЕНИЕ 1</w:t>
      </w:r>
    </w:p>
    <w:p w14:paraId="84000000">
      <w:pPr>
        <w:spacing w:before="3" w:line="322" w:lineRule="exact"/>
        <w:ind w:firstLine="0" w:left="190" w:right="207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</w:t>
      </w:r>
      <w:r>
        <w:rPr>
          <w:rFonts w:ascii="Times New Roman" w:hAnsi="Times New Roman"/>
          <w:b w:val="1"/>
          <w:spacing w:val="-3"/>
        </w:rPr>
        <w:t xml:space="preserve"> </w:t>
      </w:r>
      <w:r>
        <w:rPr>
          <w:rFonts w:ascii="Times New Roman" w:hAnsi="Times New Roman"/>
          <w:b w:val="1"/>
        </w:rPr>
        <w:t>о</w:t>
      </w:r>
      <w:r>
        <w:rPr>
          <w:rFonts w:ascii="Times New Roman" w:hAnsi="Times New Roman"/>
          <w:b w:val="1"/>
          <w:spacing w:val="-5"/>
        </w:rPr>
        <w:t xml:space="preserve"> </w:t>
      </w:r>
      <w:r>
        <w:rPr>
          <w:rFonts w:ascii="Times New Roman" w:hAnsi="Times New Roman"/>
          <w:b w:val="1"/>
          <w:spacing w:val="-2"/>
        </w:rPr>
        <w:t xml:space="preserve"> </w:t>
      </w:r>
      <w:r>
        <w:rPr>
          <w:rFonts w:ascii="Times New Roman" w:hAnsi="Times New Roman"/>
          <w:b w:val="1"/>
        </w:rPr>
        <w:t>методических</w:t>
      </w:r>
      <w:r>
        <w:rPr>
          <w:rFonts w:ascii="Times New Roman" w:hAnsi="Times New Roman"/>
          <w:b w:val="1"/>
          <w:spacing w:val="-5"/>
        </w:rPr>
        <w:t xml:space="preserve"> </w:t>
      </w:r>
      <w:r>
        <w:rPr>
          <w:rFonts w:ascii="Times New Roman" w:hAnsi="Times New Roman"/>
          <w:b w:val="1"/>
        </w:rPr>
        <w:t xml:space="preserve">рекомендациях </w:t>
      </w:r>
      <w:r>
        <w:rPr>
          <w:rFonts w:ascii="Times New Roman" w:hAnsi="Times New Roman"/>
          <w:b w:val="1"/>
        </w:rPr>
        <w:t>по вопросам образования и психолого-педагогического сопровождения</w:t>
      </w:r>
      <w:r>
        <w:rPr>
          <w:rFonts w:ascii="Times New Roman" w:hAnsi="Times New Roman"/>
          <w:b w:val="1"/>
          <w:spacing w:val="1"/>
        </w:rPr>
        <w:t xml:space="preserve"> </w:t>
      </w:r>
      <w:r>
        <w:rPr>
          <w:rFonts w:ascii="Times New Roman" w:hAnsi="Times New Roman"/>
          <w:b w:val="1"/>
        </w:rPr>
        <w:t>обучающихся</w:t>
      </w:r>
      <w:r>
        <w:rPr>
          <w:rFonts w:ascii="Times New Roman" w:hAnsi="Times New Roman"/>
          <w:b w:val="1"/>
          <w:spacing w:val="-4"/>
        </w:rPr>
        <w:t xml:space="preserve"> </w:t>
      </w:r>
      <w:r>
        <w:rPr>
          <w:rFonts w:ascii="Times New Roman" w:hAnsi="Times New Roman"/>
          <w:b w:val="1"/>
        </w:rPr>
        <w:t>с</w:t>
      </w:r>
      <w:r>
        <w:rPr>
          <w:rFonts w:ascii="Times New Roman" w:hAnsi="Times New Roman"/>
          <w:b w:val="1"/>
          <w:spacing w:val="-7"/>
        </w:rPr>
        <w:t xml:space="preserve"> </w:t>
      </w:r>
      <w:r>
        <w:rPr>
          <w:rFonts w:ascii="Times New Roman" w:hAnsi="Times New Roman"/>
          <w:b w:val="1"/>
        </w:rPr>
        <w:t>инвалидностью,</w:t>
      </w:r>
      <w:r>
        <w:rPr>
          <w:rFonts w:ascii="Times New Roman" w:hAnsi="Times New Roman"/>
          <w:b w:val="1"/>
          <w:spacing w:val="-4"/>
        </w:rPr>
        <w:t xml:space="preserve"> </w:t>
      </w:r>
      <w:r>
        <w:rPr>
          <w:rFonts w:ascii="Times New Roman" w:hAnsi="Times New Roman"/>
          <w:b w:val="1"/>
        </w:rPr>
        <w:t>с</w:t>
      </w:r>
      <w:r>
        <w:rPr>
          <w:rFonts w:ascii="Times New Roman" w:hAnsi="Times New Roman"/>
          <w:b w:val="1"/>
          <w:spacing w:val="-4"/>
        </w:rPr>
        <w:t xml:space="preserve"> </w:t>
      </w:r>
      <w:r>
        <w:rPr>
          <w:rFonts w:ascii="Times New Roman" w:hAnsi="Times New Roman"/>
          <w:b w:val="1"/>
        </w:rPr>
        <w:t>ограниченными</w:t>
      </w:r>
      <w:r>
        <w:rPr>
          <w:rFonts w:ascii="Times New Roman" w:hAnsi="Times New Roman"/>
          <w:b w:val="1"/>
          <w:spacing w:val="-3"/>
        </w:rPr>
        <w:t xml:space="preserve"> </w:t>
      </w:r>
      <w:r>
        <w:rPr>
          <w:rFonts w:ascii="Times New Roman" w:hAnsi="Times New Roman"/>
          <w:b w:val="1"/>
        </w:rPr>
        <w:t>возможностями</w:t>
      </w:r>
      <w:r>
        <w:rPr>
          <w:rFonts w:ascii="Times New Roman" w:hAnsi="Times New Roman"/>
          <w:b w:val="1"/>
          <w:spacing w:val="-4"/>
        </w:rPr>
        <w:t xml:space="preserve"> </w:t>
      </w:r>
      <w:r>
        <w:rPr>
          <w:rFonts w:ascii="Times New Roman" w:hAnsi="Times New Roman"/>
          <w:b w:val="1"/>
        </w:rPr>
        <w:t>здоровья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3"/>
        <w:gridCol w:w="10142"/>
        <w:gridCol w:w="3525"/>
      </w:tblGrid>
      <w:tr>
        <w:trPr>
          <w:trHeight w:hRule="atLeast" w:val="804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/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before="8"/>
              <w:ind w:firstLine="0" w:left="0"/>
              <w:jc w:val="left"/>
              <w:rPr>
                <w:rFonts w:ascii="Times New Roman" w:hAnsi="Times New Roman"/>
                <w:sz w:val="23"/>
              </w:rPr>
            </w:pPr>
          </w:p>
          <w:p w14:paraId="87000000">
            <w:pPr>
              <w:ind w:firstLine="0" w:left="1523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рекомендаций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ind w:firstLine="0" w:left="579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Разработчик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1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приемы активизации внимания и познавательного интереса у обучающихся с ОВЗ (ИН) в процессе дистанционного обучения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2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Маршрутизатор комплексного психолого– педагогического сопровождения обучающихся с ОВЗ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3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 развития зрительного восприятия детей с нарушением зрения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4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развития пространственного ориентирования и мобильности детей с нарушением зрения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5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по созданию в ОО здоровье сберегающих условий, способствующих психическому развитию и укреплению здоровье детей с ОВЗ и инвалидностью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6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для педагогов, осуществляющих обучение детей с применением компьютерных инструментов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  <w:tr>
        <w:trPr>
          <w:trHeight w:hRule="atLeast" w:val="360"/>
        </w:trPr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7</w:t>
            </w:r>
          </w:p>
        </w:tc>
        <w:tc>
          <w:tcPr>
            <w:tcW w:type="dxa" w:w="10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type="dxa" w:w="3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 w:firstLine="0" w:left="112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ФГБНУ </w:t>
            </w:r>
            <w:r>
              <w:rPr>
                <w:rFonts w:ascii="Times New Roman" w:hAnsi="Times New Roman"/>
                <w:sz w:val="24"/>
              </w:rPr>
              <w:t>«Институт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педагогики»</w:t>
            </w:r>
          </w:p>
        </w:tc>
      </w:tr>
    </w:tbl>
    <w:p w14:paraId="9E000000"/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aption"/>
    <w:basedOn w:val="Style_4"/>
    <w:next w:val="Style_4"/>
    <w:link w:val="Style_5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5_ch" w:type="character">
    <w:name w:val="caption"/>
    <w:basedOn w:val="Style_4_ch"/>
    <w:link w:val="Style_5"/>
    <w:rPr>
      <w:rFonts w:ascii="Times New Roman" w:hAnsi="Times New Roman"/>
      <w:b w:val="1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32"/>
    <w:basedOn w:val="Style_10"/>
    <w:link w:val="Style_12_ch"/>
    <w:rPr>
      <w:rFonts w:ascii="Times New Roman" w:hAnsi="Times New Roman"/>
      <w:sz w:val="20"/>
    </w:rPr>
  </w:style>
  <w:style w:styleId="Style_12_ch" w:type="character">
    <w:name w:val="Font Style32"/>
    <w:basedOn w:val="Style_10_ch"/>
    <w:link w:val="Style_12"/>
    <w:rPr>
      <w:rFonts w:ascii="Times New Roman" w:hAnsi="Times New Roman"/>
      <w:sz w:val="20"/>
    </w:rPr>
  </w:style>
  <w:style w:styleId="Style_13" w:type="paragraph">
    <w:name w:val="Основной текст + Не курсив"/>
    <w:link w:val="Style_13_ch"/>
    <w:rPr>
      <w:rFonts w:ascii="Times New Roman" w:hAnsi="Times New Roman"/>
      <w:b w:val="0"/>
      <w:i w:val="0"/>
      <w:smallCaps w:val="0"/>
      <w:strike w:val="0"/>
      <w:color w:val="000000"/>
      <w:spacing w:val="-4"/>
      <w:sz w:val="22"/>
      <w:u w:val="none"/>
    </w:rPr>
  </w:style>
  <w:style w:styleId="Style_13_ch" w:type="character">
    <w:name w:val="Основной текст + Не курсив"/>
    <w:link w:val="Style_13"/>
    <w:rPr>
      <w:rFonts w:ascii="Times New Roman" w:hAnsi="Times New Roman"/>
      <w:b w:val="0"/>
      <w:i w:val="0"/>
      <w:smallCaps w:val="0"/>
      <w:strike w:val="0"/>
      <w:color w:val="000000"/>
      <w:spacing w:val="-4"/>
      <w:sz w:val="22"/>
      <w:u w:val="none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annotation reference"/>
    <w:basedOn w:val="Style_10"/>
    <w:link w:val="Style_15_ch"/>
    <w:rPr>
      <w:sz w:val="16"/>
    </w:rPr>
  </w:style>
  <w:style w:styleId="Style_15_ch" w:type="character">
    <w:name w:val="annotation reference"/>
    <w:basedOn w:val="Style_10_ch"/>
    <w:link w:val="Style_15"/>
    <w:rPr>
      <w:sz w:val="16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4_ch"/>
    <w:link w:val="Style_17"/>
    <w:rPr>
      <w:rFonts w:ascii="Times New Roman" w:hAnsi="Times New Roman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8" w:type="paragraph">
    <w:name w:val="Emphasis"/>
    <w:basedOn w:val="Style_10"/>
    <w:link w:val="Style_18_ch"/>
    <w:rPr>
      <w:i w:val="1"/>
    </w:rPr>
  </w:style>
  <w:style w:styleId="Style_18_ch" w:type="character">
    <w:name w:val="Emphasis"/>
    <w:basedOn w:val="Style_10_ch"/>
    <w:link w:val="Style_18"/>
    <w:rPr>
      <w:i w:val="1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annotation text"/>
    <w:basedOn w:val="Style_4"/>
    <w:link w:val="Style_20_ch"/>
    <w:pPr>
      <w:spacing w:line="240" w:lineRule="auto"/>
      <w:ind/>
    </w:pPr>
    <w:rPr>
      <w:sz w:val="20"/>
    </w:rPr>
  </w:style>
  <w:style w:styleId="Style_20_ch" w:type="character">
    <w:name w:val="annotation text"/>
    <w:basedOn w:val="Style_4_ch"/>
    <w:link w:val="Style_20"/>
    <w:rPr>
      <w:sz w:val="20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2" w:type="paragraph">
    <w:name w:val="Hyperlink"/>
    <w:basedOn w:val="Style_10"/>
    <w:link w:val="Style_22_ch"/>
    <w:rPr>
      <w:color w:themeColor="hyperlink" w:val="0000FF"/>
      <w:u w:val="single"/>
    </w:rPr>
  </w:style>
  <w:style w:styleId="Style_22_ch" w:type="character">
    <w:name w:val="Hyperlink"/>
    <w:basedOn w:val="Style_10_ch"/>
    <w:link w:val="Style_22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annotation subject"/>
    <w:basedOn w:val="Style_20"/>
    <w:next w:val="Style_20"/>
    <w:link w:val="Style_27_ch"/>
    <w:rPr>
      <w:b w:val="1"/>
    </w:rPr>
  </w:style>
  <w:style w:styleId="Style_27_ch" w:type="character">
    <w:name w:val="annotation subject"/>
    <w:basedOn w:val="Style_20_ch"/>
    <w:link w:val="Style_27"/>
    <w:rPr>
      <w:b w:val="1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Strong"/>
    <w:basedOn w:val="Style_10"/>
    <w:link w:val="Style_29_ch"/>
    <w:rPr>
      <w:b w:val="1"/>
    </w:rPr>
  </w:style>
  <w:style w:styleId="Style_29_ch" w:type="character">
    <w:name w:val="Strong"/>
    <w:basedOn w:val="Style_10_ch"/>
    <w:link w:val="Style_29"/>
    <w:rPr>
      <w:b w:val="1"/>
    </w:rPr>
  </w:style>
  <w:style w:styleId="Style_30" w:type="paragraph">
    <w:name w:val="Основной текст1"/>
    <w:basedOn w:val="Style_4"/>
    <w:link w:val="Style_30_ch"/>
    <w:pPr>
      <w:widowControl w:val="0"/>
      <w:spacing w:after="0" w:before="300" w:line="269" w:lineRule="exact"/>
      <w:ind/>
      <w:jc w:val="both"/>
    </w:pPr>
    <w:rPr>
      <w:rFonts w:ascii="Times New Roman" w:hAnsi="Times New Roman"/>
      <w:i w:val="1"/>
      <w:spacing w:val="-4"/>
    </w:rPr>
  </w:style>
  <w:style w:styleId="Style_30_ch" w:type="character">
    <w:name w:val="Основной текст1"/>
    <w:basedOn w:val="Style_4_ch"/>
    <w:link w:val="Style_30"/>
    <w:rPr>
      <w:rFonts w:ascii="Times New Roman" w:hAnsi="Times New Roman"/>
      <w:i w:val="1"/>
      <w:spacing w:val="-4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apple-converted-space"/>
    <w:basedOn w:val="Style_10"/>
    <w:link w:val="Style_32_ch"/>
  </w:style>
  <w:style w:styleId="Style_32_ch" w:type="character">
    <w:name w:val="apple-converted-space"/>
    <w:basedOn w:val="Style_10_ch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2024-08-20T01:48:20Z</dcterms:modified>
</cp:coreProperties>
</file>